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5D_67/2020 vom 15. April 2020</w:t>
      </w:r>
    </w:p>
    <w:p>
      <w:r>
        <w:t>Bundesgericht, 2020-04-15, DE</w:t>
      </w:r>
    </w:p>
    <w:p>
      <w:r>
        <w:rPr>
          <w:b/>
        </w:rPr>
        <w:t xml:space="preserve">Quelle: </w:t>
      </w:r>
      <w:r>
        <w:t>https://mcp.opencaselaw.ch/entscheid/bger_5D_67_2020</w:t>
      </w:r>
    </w:p>
    <w:p>
      <w:r>
        <w:t>FR: TF 5D_67/2020 du 15 avril 2020</w:t>
      </w:r>
    </w:p>
    <w:p>
      <w:r>
        <w:t>IT: TF 5D_67/2020 del 15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 kantonal letztinstanzlicher Rechtsöffnungsentscheid kann beim Bundesgericht angefochten werden ( Art. 72 Abs. 2 lit. a und Art. 75 Abs. 1 BGG ). Indes ist der für die Beschwerde in Zivilsachen erforderliche Mindeststreitwert von Fr. 30'000.-- nicht erreicht ( Art. 74 Abs. 2 lit. b BGG ). Mithin steht einzig die subsidiäre Verfassungsbeschwerde offen ( Art. 113 BGG ), mit welcher ausschliesslich die Verletzung verfassungsmässiger Rechte gerügt werden kann ( Art. 116 BGG ).</w:t>
      </w:r>
    </w:p>
    <w:p>
      <w:r>
        <w:rPr>
          <w:b/>
        </w:rPr>
        <w:t>E. 2</w:t>
      </w:r>
    </w:p>
    <w:p>
      <w:r>
        <w:t>Es werden keine Verfassungsverletzungen geltend gemacht. Auf die Beschwerde ist somit im vereinfachten Verfahren nach Art. 108 Abs. 1 lit. b BGG nicht einzutreten.</w:t>
      </w:r>
    </w:p>
    <w:p>
      <w:r>
        <w:rPr>
          <w:b/>
        </w:rPr>
        <w:t>E. 3</w:t>
      </w:r>
    </w:p>
    <w:p>
      <w:r>
        <w:t>Dieses Urteil wird dem Beschwerdeführer, dem Kanton St. Gallen und dem Obergericht des Kantons Zug, II. Beschwerdeabteilung, schriftlich mitgeteilt.</w:t>
      </w:r>
    </w:p>
    <w:p>
      <w:r>
        <w:t>Lausanne, 15. April 2020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