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5D_66/2024 vom 18. Februar 2026</w:t>
      </w:r>
    </w:p>
    <w:p>
      <w:r>
        <w:t>Bundesgericht, 2026-02-18, FR</w:t>
      </w:r>
    </w:p>
    <w:p>
      <w:r>
        <w:rPr>
          <w:b/>
        </w:rPr>
        <w:t xml:space="preserve">Quelle: </w:t>
      </w:r>
      <w:r>
        <w:t>https://mcp.opencaselaw.ch/entscheid/bger_5D_66_2024</w:t>
      </w:r>
    </w:p>
    <w:p>
      <w:r>
        <w:t>FR: TF 5D_66/2024 du 18 février 2026</w:t>
      </w:r>
    </w:p>
    <w:p>
      <w:r>
        <w:t>IT: TF 5D_66/2024 del 18 febbraio 2026</w:t>
      </w:r>
    </w:p>
    <w:p>
      <w:pPr>
        <w:pStyle w:val="Heading2"/>
      </w:pPr>
      <w:r>
        <w:t>Erwägungen</w:t>
      </w:r>
    </w:p>
    <w:p>
      <w:r>
        <w:rPr>
          <w:b/>
        </w:rPr>
        <w:t>E. 1</w:t>
      </w:r>
    </w:p>
    <w:p>
      <w:r>
        <w:t>Il est admis que la décision entreprise, rendue dans une affaire civile ( art. 72 al. 1 LTF ) de nature pécuniaire, n'atteint pas la valeur litigieuse de 30'000 fr. ( art. 74 al. 1 let. b LTF ). Le recourant ne prétend pas que la contestation porterait sur une question juridique de principe ( art. 74 al. 2 let. a LTF ); c'est donc à juste titre qu'il forme un recours constitutionnel subsidiaire ( art. 113 LTF ), dont les conditions de recevabilité sont ici réunies (art. 75 et 114, art. 90 et 117, art. 100 et 117, art. 115 LTF ).</w:t>
      </w:r>
    </w:p>
    <w:p>
      <w:r>
        <w:t>Il est précisé que D.________ est décédé en cours de procédure cantonale, sans apparemment que l'autorité d'appel en ait été informée. Devant la Cour de céans, le mandataire des intimés produit un certificat d'héritiers attestant que les parents de l'intéressé, à savoir F.________ et E.________, sont ses uniques héritiers. Ceux-ci ont donc pris la place du défunt, se substituant à celui-ci dans le cadre de la procédure fédérale.</w:t>
      </w:r>
    </w:p>
    <w:p>
      <w:r>
        <w:rPr>
          <w:b/>
        </w:rPr>
        <w:t>E. 2.1</w:t>
      </w:r>
    </w:p>
    <w:p>
      <w:r>
        <w:t>Le recours constitutionnel subsidiaire peut être formé pour violation des droits constitutionnels ( art. 116 LTF ), dont la garantie contre l'arbitraire ( art. 9 Cst. ). Conformément à l' art. 106 al. 2 LTF (applicable en vertu du renvoi de l' art. 117 LTF ), le Tribunal fédéral n'examine toutefois que les griefs expressément soulevés et motivés conformément au principe d'allégation. Le recourant doit indiquer quel droit ou principe constitutionnel a été violé par l'autorité précédente et dans quelle mesure, en présentant une argumentation claire et circonstanciée ( ATF 145 I 121 consid. 2.1 et les références).</w:t>
      </w:r>
    </w:p>
    <w:p>
      <w:r>
        <w:rPr>
          <w:b/>
        </w:rPr>
        <w:t>E. 2.2</w:t>
      </w:r>
    </w:p>
    <w:p>
      <w:r>
        <w:t>Le Tribunal fédéral statue sur la base des faits établis par l'autorité précédente ( art. 118 al. 1 LTF ). Il peut rectifier ou compléter les constatations de la décision entreprise si les faits ont été établis en violation du droit au sens de l' art. 116 LTF ( art. 118 al. 2 LTF ), c'est-à-dire s'ils sont arbitraires au sens de l' art. 9 Cst. ( ATF 147 V 35 consid. 4.2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w:t>
      </w:r>
    </w:p>
    <w:p>
      <w:r>
        <w:t>Il n'y a pas lieu de s'arrêter sur le résumé des faits auquel procède le recourant en tête de ses écritures. Leur caractère prétendument incomplet ou arbitraire sera examiné en lien avec les critiques qu'il développe sous l'angle de l'appréciation arbitraire des preuves.</w:t>
      </w:r>
    </w:p>
    <w:p>
      <w:r>
        <w:rPr>
          <w:b/>
        </w:rPr>
        <w:t>E. 3</w:t>
      </w:r>
    </w:p>
    <w:p>
      <w:r>
        <w:t>Le recourant reproche à l'autorité cantonale d'avoir arbitrairement apprécié les preuves et appliqué de manière arbitraire l' art. 738 CC .</w:t>
      </w:r>
    </w:p>
    <w:p>
      <w:r>
        <w:rPr>
          <w:b/>
        </w:rPr>
        <w:t>E. 3.1.1</w:t>
      </w:r>
    </w:p>
    <w:p>
      <w:r>
        <w:t>Selon l' art. 971 al. 2 CC , le contenu d'un droit réel immobilier peut être précisé, dans les limites de l'inscription, par les pièces justificatives ou de toute autre manière. L' art. 738 CC reprend et précise ce principe; il constitue une</w:t>
      </w:r>
    </w:p>
    <w:p>
      <w:r>
        <w:t>lex specialis dans le domaine des servitudes. Selon cette disposition, l'inscription au registre foncier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 art. 738 CC :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 art. 948 al. 2 CC ) et qui fait partie intégrante du registre foncier ( ATF 151 III 269 consid. 2.1). Le contrat de servitude et le plan sur lequel est reportée l'assiette de la servitude constituent à cet égard des pièces justificatives ( art. 942 al. 2 CC ), étant souligné que seul un extrait des données de la mensuration officielle participe à la foi publique du registre foncier, à l'exclusion d'un plan de situation (arrêt 5A_472/2021 du 29 mars 2022 consid. 4.3 et les références citées). Si le titre d'acquisition ne permet pas de déterminer le contenu de la servitude, l'étendue de celle-ci peut alors être précisée par la manière dont elle a été exercée pendant longtemps, paisiblement et de bonne foi ( art. 738 al. 2 CC ; ATF 151 III 269 consid. 2.1 et les références).</w:t>
      </w:r>
    </w:p>
    <w:p>
      <w:r>
        <w:rPr>
          <w:b/>
        </w:rPr>
        <w:t>E. 3.1.2</w:t>
      </w:r>
    </w:p>
    <w:p>
      <w:r>
        <w:t>L'acte constitutif doit être interprété de la même manière que que pour tout contrat, le juge devant tout d'abord s'efforcer de déterminer la réelle et commune intention des parties (interprétation subjective); si elle aboutit, cette démarche conduit à une constatation de fait. Pour y procéder, peuvent et doivent être prises en considération toutes les déclarations et attitudes des parties, ainsi que les circonstances antérieures, concomitantes et postérieures à la conclusion du contrat, le comportement ultérieur des parties permettant d'établir quelles étaient à l'époque les conceptions des parties elles-mêmes. En second lieu, subsidiairement, si le juge ne parvient pas à déterminer la volonté réelle et commune des parties, il doit interpréter les déclarations et comportements des parties selon le principe de la confiance, en recherchant comment une déclaration ou une attitude pouvait être comprise de bonne foi en fonction de l'ensemble des circonstances; en procédant à une telle interprétation objective, il résout une question de droit ( ATF 151 III 269 consid. 2.2; sur la distinction entre la volonté subjective et la volonté objective: cf. ATF 148 V 70 consid. 5.1.1; 144 III 93 consid. 5.2).</w:t>
      </w:r>
    </w:p>
    <w:p>
      <w:r>
        <w:t>Lorsque le litige oppose des tiers qui n'étaient pas parties au contrat constitutif de servitude ou une partie originaire à un tiers, ces principes d'interprétation sont toutefois limités par la foi publique attachée au registre foncier ( art. 973 al. 1 CC ; ATF 151 III 269 consid. 2.3; 139 III 404 consid. 7.1; 137 III 145 consid. 3.2.2; 130 III 554 consid. 3.1), lequel comprend non seulement le grand livre, mais aussi les pièces justificatives, dans la mesure où elles précisent la portée de l'inscription ( art. 971 al. 2 CC repris par l' art. 738 al. 2 CC ). Il est alors interdit de prendre en considération, dans la détermination de la volonté subjective, les circonstances et motifs personnels qui ont été déterminants dans la formation de la volonté des constituants; dans la mesure où ils ne résultent pas de l'acte constitutif, ils ne sont pas opposables au tiers qui s'est fondé de bonne foi sur le registre foncier ( ATF 151 III 269 consid. 2.3 et les références). Le résultat de l'interprétation objective devrait être ainsi le même que celui de l'interprétation subjective limitée par la foi publique (arrêt 5A_691/2019 du 16 avril 2020 consid. 3.3.3 et les références). Lorsque le tiers est de mauvaise foi, c'est-à-dire s'il connaissait la volonté réelle des parties originaires ou s'il aurait dû la rechercher, l'interprétation s'effectue toutefois comme lorsque le litige oppose les parties originaires (arrêt 5A_113/2013 du 2 août 2013 consid. 3.2 et la référence).</w:t>
      </w:r>
    </w:p>
    <w:p>
      <w:r>
        <w:rPr>
          <w:b/>
        </w:rPr>
        <w:t>E. 3.2</w:t>
      </w:r>
    </w:p>
    <w:p>
      <w:r>
        <w:t>La juge cantonale a relevé que la limitation de l'exercice de la servitude ne résultait pas de l'inscription figurant au registre foncier. La volonté des parties de restreindre le passage à une partie des fonds servants se fondait sur le libellé de l'acte notarié et le plan annexé auquel il renvoyait. Selon cet acte, le droit de passage ne s'exercerait pas sur la totalité des fonds grevés mais le long de leur limite sud, sur une largeur de 3 mètres.</w:t>
      </w:r>
    </w:p>
    <w:p>
      <w:r>
        <w:t>Recherchant la volonté réelle et commune de parties au contrat constitutif de servitude, puis interprétant celui-ci selon leur volonté objective, la juge cantonale est parvenue à la conclusion qu'il ne faisait aucun doute que la volonté des intéressés tendait à constituer un droit de passage autorisant l'accès depuis les fonds dominants à la rue de V.________ en longeant la limite sud du fonds servant sur son premier tronçon puis en remontant vers le nord-ouest, selon la trajectoire dessinée sur la pièce no 31 que produisaient les intimés.</w:t>
      </w:r>
    </w:p>
    <w:p>
      <w:r>
        <w:rPr>
          <w:b/>
        </w:rPr>
        <w:t>E. 3.2.1</w:t>
      </w:r>
    </w:p>
    <w:p>
      <w:r>
        <w:t>La magistrate cantonale a considéré que, lorsqu'il avait acquis son immeuble, le recourant n'était pas un tiers de bonne foi, ignorant de la volonté des parties à l'acte constitutif de la servitude. Les liens familiaux entretenus avec celles-ci, le fait qu'il connaissait la manière dont s'exerçait la servitude du temps de son grand-père, la possibilité qu'il avait eu d'en discuter avec tous les membres de sa famille - tous au fait de l'objet de la servitude selon la teneur de leurs témoignages - permettaient de déduire que, lorsqu'il avait fait l'acquisition de la parcelle no 4020 en 2004, le recourant savait parfaitement quel était le but et l'assiette de la servitude selon la volonté des parties à l'acte de 1975. Ce n'était que bien plus tard - au cours de la procédure de conciliation (cf.</w:t>
      </w:r>
    </w:p>
    <w:p>
      <w:r>
        <w:t>supra let. B.a) - qu'il avait pris connaissance de l'acte constitutif et du plan qui y était annexé. La juge cantonale a ainsi considéré que la volonté subjective des parties à cet acte était opposable au recourant.</w:t>
      </w:r>
    </w:p>
    <w:p>
      <w:r>
        <w:rPr>
          <w:b/>
        </w:rPr>
        <w:t>E. 3.2.1.1</w:t>
      </w:r>
    </w:p>
    <w:p>
      <w:r>
        <w:t>Celui-ci affirme d'abord qu'il serait manifestement inexact de retenir l'existence de plusieurs parties à l'acte notarié ayant conduit à la constitution de la servitude litigieuse. Il soutient que seul son grand-père H.________ aurait comparu à l'acte; s'ils étaient présents, ses fils G.________ et K.________ ne l'auraient été que pour accepter les terrains reçus en avancement d'hoirie et n'auraient en aucune façon participé aux décisions prises par leur père à cette occasion. Seule la volonté de ce dernier était ainsi déterminante.</w:t>
      </w:r>
    </w:p>
    <w:p>
      <w:r>
        <w:t>Cette affirmation doit être écartée. Par l'acte précité, H.________ a transféré certaines parcelles à ces descendants, puis constitué la servitude litigieuse en faveur des parcelles qu'il leur transmettait. Le caractère multipartite de l'acte est ainsi évident; l'absence de contre-prestation des deux frères précités à l'attribution immobilière concédée par leur père ne permet pas d'exclure leur participation à l'acte et de s'abstenir d'examiner leur volonté pour arrêter le but et l'assiette de la servitude litigieuse. Le recourant l'a d'ailleurs parfaitement compris en tant qu'il tente ultérieurement d'opposer que feu G.________ et K.________, en tant que participants à l'acte, connaissaient la différence entre le tracé de la servitude selon le plan annexé à l'acte constitutif et l'usage familial (cf.</w:t>
      </w:r>
    </w:p>
    <w:p>
      <w:r>
        <w:t>infra consid. 3.2.3.4).</w:t>
      </w:r>
    </w:p>
    <w:p>
      <w:r>
        <w:rPr>
          <w:b/>
        </w:rPr>
        <w:t>E. 3.2.1.2</w:t>
      </w:r>
    </w:p>
    <w:p>
      <w:r>
        <w:t>Contestant ensuite n'avoir pris connaissance du croquis annexé à l'acte constitutif que dans le contexte de la présente procédure, le recourant soutient qu'il n'ignorait pas que la servitude s'exerçait au sud de sa parcelle mais qu'il tolérait toutefois le passage litigieux à bien plaire, pour ensuite paradoxalement prétendre avoir pris conscience, à l'issue de la séance de conciliation, que le tracé de la servitude ne permettait pas d'accès à la rue de V.________, ce qui l'aurait conduit à améliorer l'angle sud de sa parcelle. Pour le moins contradictoire, cette argumentation ne cerne de surcroît aucunement le raisonnement de l'autorité cantonale. Dans cette mesure, ainsi que l'a retenu celle-ci, la volonté subjective des participants à l'acte de 1975 doit lui être opposée. C'est d'ailleurs essentiellement sous cet angle que le recourant développe son argumentation.</w:t>
      </w:r>
    </w:p>
    <w:p>
      <w:r>
        <w:rPr>
          <w:b/>
        </w:rPr>
        <w:t>E. 3.2.2</w:t>
      </w:r>
    </w:p>
    <w:p>
      <w:r>
        <w:t>Toujours sous l'angle de la détermination de la volonté subjective des parties au contrat constitutif, l'autorité cantonale a avant tout retenu que la servitude de passage créée au bénéfice des fonds dominants devait permettre à leurs propriétaires d'accéder à la rue de V.________. L'ensemble des témoins entendus en cours de procédure s'y accordaient; à défaut, il aurait fallu admettre que la volonté initiale des parties consistait à créer un passage sans issue, ce qui revenait à nier tout intérêt raisonnable à la servitude et partant, à la validité de sa constitution; une telle solution serait au demeurant contraire au principe de la</w:t>
      </w:r>
    </w:p>
    <w:p>
      <w:r>
        <w:t>favor negotii . À cela s'ajoutait le souhait de H.________ de ne pas prétériter les membres de sa famille, rapporté par le père du recourant.</w:t>
      </w:r>
    </w:p>
    <w:p>
      <w:r>
        <w:t>Ce postulat initial n'est aucunement contesté par le recourant, qui affirme uniquement que les témoignages rapportés illustreraient le caractère familial et à bien plaire du passage (cf.</w:t>
      </w:r>
    </w:p>
    <w:p>
      <w:r>
        <w:t>infra consid. 3.2.3.4). L'on précisera néanmoins que la référence qu'opère la magistrate cantonale au principe de la</w:t>
      </w:r>
    </w:p>
    <w:p>
      <w:r>
        <w:t>favor negotii paraît relever de l'interprétation de l'acte constitutif selon la volonté objective des parties constituantes et ne se révèle pas pertinente dans ce contexte.</w:t>
      </w:r>
    </w:p>
    <w:p>
      <w:r>
        <w:rPr>
          <w:b/>
        </w:rPr>
        <w:t>E. 3.2.3</w:t>
      </w:r>
    </w:p>
    <w:p>
      <w:r>
        <w:t>La juge cantonale a reconnu dans un deuxième temps que, si le libellé de l'acte constitutif de 1975 apparaissait clair et univoque, la description de l'assiette de la servitude était cependant très sommaire, sans faire de distinction entre les différents fonds servants. L'indication de la limite sud servait avant tout à signaler que le passage devait suivre une seule trajectoire rectiligne au travers des différents fonds et à préciser de quel côté des bâtiments il devait s'effectuer, vu les constructions érigées au centre des fonds nos 4020 et 4026. Rien n'indiquait que le descriptif de l'assiette devait en revanche circonscrire le débouché sur la rue de V.________ à un endroit bien précis du fonds no 4020. Une telle précision n'était pas nécessaire puisque cette parcelle bénéficiait déjà d'un accès aménagé à la voie publique, visible sur le terrain et connu de tous les participants.</w:t>
      </w:r>
    </w:p>
    <w:p>
      <w:r>
        <w:t>L'autorité cantonale a également souligné le caractère sommaire du plan auquel renvoyait l'acte constitutif (route, parcelles voisines, constructions érigées sur la parcelle no 4020 non représentées; tracé de l'assiette de la servitude reporté en traitillés à main levée). Elle en a déduit que le plan visait à indiquer de façon grossière l'emplacement du passage sans fixer précisément l'assiette de la servitude. Tel qu'il était conçu, le plan ne permettait pas de se rendre compte que le tracé en traitillés figurant le passage n'aboutissait pas à la rue. Il était ainsi exclu d'affirmer, en se fondant sur ce document, que, selon la volonté concordante des parties, l'assiette s'arrêtait à quelques mètres de la rue, voire encore qu'elle devrait se prolonger sur le fonds no 4200 qui n'était grevé d'aucune servitude.</w:t>
      </w:r>
    </w:p>
    <w:p>
      <w:r>
        <w:t>La juge cantonale a encore relevé que la volonté des parties à l'acte de 1975 s'était manifestée au travers de la manière dont le droit de passage s'était par la suite exercé paisiblement pendant trente ans jusqu'à l'acquisition de la parcelle no 4020 par le recourant. Les témoignages quasi unanimes attestaient que le droit de passage non seulement aboutissait à la rue de V.________ mais également que la sortie sur la voie publique suivait la trajectoire dessinée sur le plan déposé sous pièce no 31. Du vivant de H.________ jusqu'en 2020, il n'existait qu'une seule entrée depuis la rue de V.________ sur le fonds no 4020, qui se trouvait au milieu de la limite ouest et la visibilité y était la meilleure. Avant l'acquisition par le recourant, l'angle sud-ouest était occupé (arbres fruitiers, place avec tracteur) et il n'était pas possible de circuler en voiture jusqu'aux confins de la limite sud du fonds no 4020; un accès plus en aval que celui pratiqué du temps de H.________ était malaisé et plus dangereux (visibilité réduite, étroitesse de la route, configuration des lieux) et seule la direction montante de la route de V.________ était envisageable, moyennant de surcroît certains aménagements. Il apparaissait ainsi exclu que la volonté de H.________ eût été de mettre en danger ses enfants ou de leur compliquer la tâche. La magistrate cantonale a enfin indiqué ne pas voir l'avantage de concevoir deux sorties distinctes sur la rue de V.________, l'une pour les occupants du bâtiment érigé sur le fonds no 4020 et l'autre pour les ayants-droits des fonds servants (</w:t>
      </w:r>
    </w:p>
    <w:p>
      <w:r>
        <w:t>recte : dominants) (augmentation de la surface de roulage sur le fonds servant; création de deux ouvertures disgracieuses dans la haie).</w:t>
      </w:r>
    </w:p>
    <w:p>
      <w:r>
        <w:rPr>
          <w:b/>
        </w:rPr>
        <w:t>E. 3.2.3.1</w:t>
      </w:r>
    </w:p>
    <w:p>
      <w:r>
        <w:t>Le recourant critique la constatation cantonale relative au caractère sommaire du plan annexé à l'acte notarié. Il affirme qu'il s'agirait d'un plan établi par un géomètre officiel, à savoir un titre public qui bénéficierait de la foi publique en relation avec l'assiette de la servitude qu'il contient. Il conteste ainsi le défaut de caractère déterminant que lui attribue la juge cantonale pour fixer l'assiette de la servitude.</w:t>
      </w:r>
    </w:p>
    <w:p>
      <w:r>
        <w:t>Il faut d'abord constater que le plan précité n'est pas issu de la mensuration officielle; il s'agit d'un plan de situation, dépourvu de la foi publique du registre foncier (cf.</w:t>
      </w:r>
    </w:p>
    <w:p>
      <w:r>
        <w:t>supra consid. 3.1.1).</w:t>
      </w:r>
    </w:p>
    <w:p>
      <w:r>
        <w:rPr>
          <w:b/>
        </w:rPr>
        <w:t>E. 3.2.3.2</w:t>
      </w:r>
    </w:p>
    <w:p>
      <w:r>
        <w:t>Au surplus, et contrairement à ce qu'affirme le recourant, il n'est pas arbitraire de considérer que le plan litigieux était sommaire, l'intéressé ne contestant pas que ni la route, ni les parcelles voisines, ni les constructions sises sur la parcelle grevée et la parcelle no 4020 n'y figuraient; le recourant ne nie pas non plus que le plan ne permettait pas de constater que la servitude telle que reportée n'aboutissait pas à la rue de V.________, dont il est établi - sans contestation efficace de l'intéressé (cf.</w:t>
      </w:r>
    </w:p>
    <w:p>
      <w:r>
        <w:t>supra consid. 3.2.2) - que cet accès constituait pourtant le but recherché en octroyant la servitude litigieuse. Quant à l'argumentation relative au caractère prétendument précis et fidèle du plan, elle est principalement appellatoire (ainsi notamment: le tracé ne serait pas grossier; le plan reproduirait fidèlement la configuration des parcelles concernées; une personne qui devrait tracer la servitude sur la seule base du libellé le ferait exactement comme sur le plan).</w:t>
      </w:r>
    </w:p>
    <w:p>
      <w:r>
        <w:t>À défaut de critiques efficaces du recourant quant au caractère sommaire et imprécis du plan, il faut admettre que c'est sans arbitraire que la magistrate cantonale a considéré que celui-ci n'était pas déterminant pour arrêter l'assiette de la servitude.</w:t>
      </w:r>
    </w:p>
    <w:p>
      <w:r>
        <w:rPr>
          <w:b/>
        </w:rPr>
        <w:t>E. 3.2.3.3</w:t>
      </w:r>
    </w:p>
    <w:p>
      <w:r>
        <w:t>Dans ces circonstances, l'on ne peut qu'écarter la critique selon laquelle l'étendue conférée par la juge cantonale à l'assiette de la servitude irait totalement au-delà des données du registre foncier et aboutirait à un résultat arbitraire au regard des principes définissant l'étendue d'une servitude selon l' art. 738 CC .</w:t>
      </w:r>
    </w:p>
    <w:p>
      <w:r>
        <w:t>De même, est dépourvue de pertinence l'affirmation du recourant selon laquelle le tracé de l'assiette de la servitude révélerait sans ambiguïté la volonté de son grand-père d'orienter son issue en direction du sud, soit en direction du bas du village, en aucun cas vers le haut en direction du nord. Cette hypothèse apparaît d'ailleurs en contradiction avec les constatations de l'autorité cantonale - que le recourant ne conteste pas - selon lesquelles un chemin plus en aval que celui pratiqué du temps de H.________ - mais ainsi plus en amont que le tracé figurant sur le plan - n'était pas possible à emprunter pour descendre sur la voie publique, mais permettait uniquement de prendre la direction montante moyennant des aménagements.</w:t>
      </w:r>
    </w:p>
    <w:p>
      <w:r>
        <w:rPr>
          <w:b/>
        </w:rPr>
        <w:t>E. 3.2.3.4</w:t>
      </w:r>
    </w:p>
    <w:p>
      <w:r>
        <w:t>De manière plus générale, l'argumentation que développe le recourant consiste essentiellement à soutenir que la création du passage en limite sud de sa parcelle illustrait la volonté de son grand-père de faire une distinction entre le passage qu'il octroyait à sa famille - à savoir ses fils - et l'accès, figuré par le plan de situation annexé à l'acte constitutif, que pourraient - ultérieurement - emprunter des tiers. L'usage que décrivaient les témoins et sur lequel s'appuyait la magistrate cantonale était en effet un usage familial "à bien plaire", pour lequel la constitution d'une servitude n'était aucunement nécessaire. Si le chemin correspondant à l'assiette de la servitude tel que représenté sur le plan annexé à l'acte constitutif n'avait certes jamais été aménagé, cela s'expliquait par le fait qu'il n'y avait alors aucune nécessité du vivant de H.________: dès lors que la servitude ne donnait pas accès à la voie publique, ce dernier aurait dû entreprendre des travaux sur son terrain pour l'aménager; quant aux propriétaires des fonds bénéficiaires, ils empruntaient pour leur part l'accès au travers de la parcelle no 4029 appartenant à leur frère F.________.</w:t>
      </w:r>
    </w:p>
    <w:p>
      <w:r>
        <w:t>Cette argumentation, qui tend à lier la création de la servitude litigieuse à la perspective d'un transfert ultérieur des fonds dominants en mains de tiers, ne trouve toutefois aucun appui factuel, étant souligné que, lors de la création de dite servitude, les fonds qui en bénéficiaient étaient ici attribués à des membres de la famille de H.________ et non à de tierces personnes. Le recourant reconnaît par ailleurs lui-même que la servitude telle que reportée selon le plan de situation ne permettait pas l'accès à la rue de V.________, en sorte que son raisonnement est difficilement soutenable.</w:t>
      </w:r>
    </w:p>
    <w:p>
      <w:r>
        <w:rPr>
          <w:b/>
        </w:rPr>
        <w:t>E. 3.2.3.5</w:t>
      </w:r>
    </w:p>
    <w:p>
      <w:r>
        <w:t>Le recourant reproche encore à l'autorité cantonale d'avoir arbitrairement retenu qu'il avait aménagé l'assiette de la servitude (enrochement, bande de roulement, goudronnage de la partie ouest de son fonds) pour en déduire que l'assiette de celle-ci correspondait à la trajectoire souhaitée par les intimés.</w:t>
      </w:r>
    </w:p>
    <w:p>
      <w:r>
        <w:t>L'on relèvera avant tout que cet élément a été retenu par la juge cantonale dans le contexte de la détermination de la volonté objective des parties à l'acte constitutif. En tant toutefois qu'il a manifestement trait à un comportement postérieur à l'acte soumis à interprétation, cet indice doit permettre de fixer la volonté subjective des parties et doit être évalué dans le contexte des critiques qui y ont trait (cf.</w:t>
      </w:r>
    </w:p>
    <w:p>
      <w:r>
        <w:t>supra consid. 3.1.2). Certes, ainsi que le recourant l'affirme, il n'est pas exclu que ces travaux eussent été envisagés dans le cadre des travaux d'agrandissement de sa propriété; il n'apparaît toutefois pas arbitraire d'en avoir également déduit que, par la même occasion, l'intéressé entendait matérialiser l'accès des propriétaires des fonds bénéficiaires à la rue de V.________.</w:t>
      </w:r>
    </w:p>
    <w:p>
      <w:r>
        <w:rPr>
          <w:b/>
        </w:rPr>
        <w:t>E. 3.2.3.6</w:t>
      </w:r>
    </w:p>
    <w:p>
      <w:r>
        <w:t>Il s'agit enfin d'observer que le recourant ne conteste pas la chronologie des faits ayant conduit à la présente procédure, à savoir son respect initial du passage par les propriétaires des fonds bénéficiaires, puis son changement d'attitude en raison de son différend avec sa cousine et sa prise de connaissance des pièces justificatives au registre foncier. Ces éléments apparaissent pourtant eux aussi décisifs pour confirmer que la volonté réelle - et non objective comme examinée par la juge cantonale - des parties à l'acte constitutif était bien d'accorder aux propriétaires des fonds dominants un passage sûr à la rue de V.________.</w:t>
      </w:r>
    </w:p>
    <w:p>
      <w:r>
        <w:rPr>
          <w:b/>
        </w:rPr>
        <w:t>E. 3.3</w:t>
      </w:r>
    </w:p>
    <w:p>
      <w:r>
        <w:t>En tant que le recourant échoue à démontrer le caractère arbitraire de la motivation cantonale relative à l'établissement de la volonté subjective des parties au contrat constitutif de servitude, il n'y a pas lieu d'examiner si le raisonnement cantonal concernant son interprétation objective résiste à l'arbitraire.</w:t>
      </w:r>
    </w:p>
    <w:p>
      <w:r>
        <w:rPr>
          <w:b/>
        </w:rPr>
        <w:t>E. 4</w:t>
      </w:r>
    </w:p>
    <w:p>
      <w:r>
        <w:t>Le recourant estime que la décision cantonale serait insoutenable au regard de l' art. 742 CC , disposition au terme de laquelle lorsque la servitude ne s'exerce que sur une partie du fonds servant, le propriétaire grevé peut, s'il y a intérêt et s'il se charge des frais, exiger qu'elle soit transportée dans un autre endroit où elle ne s'exercerait pas moins commodément ( art. 742 al. 1 CC ). À bien le comprendre, il soutient que les conditions permettant un déplacement de l'assiette de la servitude ne seraient pas données. Cette critique est dépourvue de caractère pertinent. L'assiette de la servitude a en effet été déterminée par interprétation sans qu'entre en considération l'éventuelle application de la disposition précitée.</w:t>
      </w:r>
    </w:p>
    <w:p>
      <w:r>
        <w:rPr>
          <w:b/>
        </w:rPr>
        <w:t>E. 5</w:t>
      </w:r>
    </w:p>
    <w:p>
      <w:r>
        <w:t>Au sujet de la violation manifeste de l' art. 975 CC , le recourant se limite à affirmer que "les conditions matérielles d'une rectification sur la base de cette disposition ne seraient pas réalisées", affirmation à l'évidence insuffisante à elle seule à démontrer le caractère arbitraire de la rectification ordonnée par la juge cantonale.</w:t>
      </w:r>
    </w:p>
    <w:p>
      <w:r>
        <w:rPr>
          <w:b/>
        </w:rPr>
        <w:t>E. 6</w:t>
      </w:r>
    </w:p>
    <w:p>
      <w:r>
        <w:t>Dans un dernier grief, le recourant réclame la radiation de la servitude dont bénéficient les intimés ( art. 736 al. 1 CC ). Son argumentation s'appuie toutefois sur une assiette de la servitude différente de celle finalement arrêtée par la cour cantonale en se fondant sur les règles d'interprétation des contrats, dont le recourant n'est pas parvenu à démontrer le caractère arbitraire. Dans cette mesure, sa critique est sans objet. Le même raisonnement doit lui être opposé s'agissant de sa conclusion subsidiaire tendant à faire interdiction aux intimés de sortir des limites de l'assiette de la servitude telle qu'indûment inscrite au registre foncier.</w:t>
      </w:r>
    </w:p>
    <w:p>
      <w:r>
        <w:rPr>
          <w:b/>
        </w:rPr>
        <w:t>E. 7</w:t>
      </w:r>
    </w:p>
    <w:p>
      <w:r>
        <w:t>En définitive, le recours doit être rejeté dans la mesure où il est recevable. Les frais judiciaires sont à la charge du recourant ( art. 66 al. 1 LTF ). Aucune indemnité de dépens n'est octroyée aux intimés qui ont conclu sans succès au rejet de la requête d'effet suspensif assortissant le recours et qui n'ont pas été invités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