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66/2022 vom 31. Mai 2022</w:t>
      </w:r>
    </w:p>
    <w:p>
      <w:r>
        <w:t>Bundesgericht, 2022-05-31, DE</w:t>
      </w:r>
    </w:p>
    <w:p>
      <w:r>
        <w:rPr>
          <w:b/>
        </w:rPr>
        <w:t xml:space="preserve">Quelle: </w:t>
      </w:r>
      <w:r>
        <w:t>https://mcp.opencaselaw.ch/entscheid/bger_5D_66_2022</w:t>
      </w:r>
    </w:p>
    <w:p>
      <w:r>
        <w:t>FR: TF 5D 66/2022 du 31 mai 2022</w:t>
      </w:r>
    </w:p>
    <w:p>
      <w:r>
        <w:t>IT: TF 5D 66/2022 del 31 maggio 2022</w:t>
      </w:r>
    </w:p>
    <w:p>
      <w:pPr>
        <w:pStyle w:val="Heading2"/>
      </w:pPr>
      <w:r>
        <w:t>Regeste</w:t>
      </w:r>
    </w:p>
    <w:p>
      <w:r>
        <w:t>Definitive Rechtsöffnung | Schuldbetreibungs- und Konkursrecht</w:t>
      </w:r>
    </w:p>
    <w:p>
      <w:pPr>
        <w:pStyle w:val="Heading2"/>
      </w:pPr>
      <w:r>
        <w:t>Erwägungen</w:t>
      </w:r>
    </w:p>
    <w:p>
      <w:r>
        <w:rPr>
          <w:b/>
        </w:rPr>
        <w:t>E. 1</w:t>
      </w:r>
    </w:p>
    <w:p>
      <w:r>
        <w:t>Mit Urteil vom 25. Februar 2022 erteilte das Bezirksgericht Zürich dem Beschwerdegegner gegenüber dem Beschwerdeführer in der Betreibung Nr. xxx des Betreibungsamtes Zürich 7 definitive Rechtsöffnung für Fr. 500.--. Die Entscheidgebühr von Fr. 150.-- auferlegte es dem Beschwerdeführer. Mit Eingabe vom 5. März 2022 verlangte der Beschwerdeführer sinngemäss die Aufhebung der Kostenauflage. Mit Urteil vom 5. April 2022 wies das Obergericht des Kantons Zürich die Beschwerde ab. Mit Eingabe vom 30. April 2022 (Postaufgabe 2. Mai 2022) hat sich der Beschwerdeführer in Bezug auf dieses Urteil an das Bundesgericht gewandt. Am 9., 16. und 18. Mai 2022 (jeweils Postaufgabe) hat er weitere Eingaben eingereicht.</w:t>
      </w:r>
    </w:p>
    <w:p>
      <w:r>
        <w:rPr>
          <w:b/>
        </w:rPr>
        <w:t>E. 2</w:t>
      </w:r>
    </w:p>
    <w:p>
      <w:r>
        <w:t>Aufgrund des unter Fr. 30'000.-- liegenden Streitwerts (Art. 74 Abs. 1 lit. b i.V.m. Art. 51 Abs. 1 lit. c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wundert sich darüber, dass das Urteil erst am 25. April 2022 versandt worden sei. Er legt jedoch nicht dar, dass in diesem Zusammenhang verfassungsmässige Rechte verletzt worden sein sollen. Sofern er davon ausgehen sollte, ihm sei dadurch die Rechtsmittelfrist verkürzt worden, ginge er fehl: Diese lief ab dem Zeitpunkt der Zustellung (29. April 2022), womit alle seine Eingaben an das Bundesgericht rechtzeitig erfolgt sind. Eine inhaltliche Auseinandersetzung mit dem angefochtenen Urteil fehlt. Der Beschwerdeführer äussert sich im Wesentlichen zu Angelegenheiten, die keinen erkennbaren Bezug zum angefochtenen Urteil haben. So ist er der Auffassung, die Bundesgerichtspräsidentin müsse einen Entscheid von Bundesrichter Herrmann korrigieren und er bittet Letzteren, eine Spende von Fr. 1'000.-- bei der Schweizerischen Flüchtlingshilfe zu veranlassen. 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