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65/2018 vom 28. Mai 2018</w:t>
      </w:r>
    </w:p>
    <w:p>
      <w:r>
        <w:t>Bundesgericht, 2018-05-28, FR</w:t>
      </w:r>
    </w:p>
    <w:p>
      <w:r>
        <w:rPr>
          <w:b/>
        </w:rPr>
        <w:t xml:space="preserve">Quelle: </w:t>
      </w:r>
      <w:r>
        <w:t>https://mcp.opencaselaw.ch/entscheid/bger_5D_65_2018</w:t>
      </w:r>
    </w:p>
    <w:p>
      <w:r>
        <w:t>FR: TF 5D 65/2018 du 28 mai 2018</w:t>
      </w:r>
    </w:p>
    <w:p>
      <w:r>
        <w:t>IT: TF 5D 65/2018 del 28 maggio 2018</w:t>
      </w:r>
    </w:p>
    <w:p>
      <w:pPr>
        <w:pStyle w:val="Heading2"/>
      </w:pPr>
      <w:r>
        <w:t>Regeste</w:t>
      </w:r>
    </w:p>
    <w:p>
      <w:r>
        <w:t>mainlevée définitive de l'opposition | Droit des poursuites et faillites</w:t>
      </w:r>
    </w:p>
    <w:p>
      <w:pPr>
        <w:pStyle w:val="Heading2"/>
      </w:pPr>
      <w:r>
        <w:t>Erwägungen</w:t>
      </w:r>
    </w:p>
    <w:p>
      <w:r>
        <w:rPr>
          <w:b/>
        </w:rPr>
        <w:t>E. 1</w:t>
      </w:r>
    </w:p>
    <w:p>
      <w:r>
        <w:t>Par arrêt du 1 er mars 2018, la Cour des poursuites et faillites du Tribunal cantonal du canton de Vaud a déclaré irrecevable, faute de motivation suffisante, le recours déposé le 26 janvier 2018 par A.________ à l'encontre du prononcé de mainlevée définitive de l'opposition rendu le 25 octobre 2017 par le Juge de paix du district de l'Ouest lausannois, dans la poursuite exercée par la Confédération suisse.</w:t>
      </w:r>
    </w:p>
    <w:p>
      <w:r>
        <w:rPr>
          <w:b/>
        </w:rPr>
        <w:t>E. 2</w:t>
      </w:r>
    </w:p>
    <w:p>
      <w:r>
        <w:t>Par acte du 9 avril 2018, A._______ exerce un recours au Tribunal fédéral contre cette décision, ainsi que contre quatre autres décisions de mainlevée rendues à son encontre par le Tribunal cantonal vaudois. Eu égard à la valeur litigieuse en cause, le présent recours doit être traité comme un recours constitutionnel subsidiaire ( art. 113 ss LTF ). Dans son écriture qui concerne également quatre autres poursuites distinctes, le recourant expose son litige contre son ancien employeur et requiert une indemnité de 1'907'500 fr. Ce faisant, il ne s'en prend nullement à la décision cantonale d'irrecevabilité, a fortiori il ne soulève aucun grief,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