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64/2023 vom 17. April 2023</w:t>
      </w:r>
    </w:p>
    <w:p>
      <w:r>
        <w:t>Bundesgericht, 2023-04-17, DE</w:t>
      </w:r>
    </w:p>
    <w:p>
      <w:r>
        <w:rPr>
          <w:b/>
        </w:rPr>
        <w:t xml:space="preserve">Quelle: </w:t>
      </w:r>
      <w:r>
        <w:t>https://mcp.opencaselaw.ch/entscheid/bger_5D_64_2023</w:t>
      </w:r>
    </w:p>
    <w:p>
      <w:r>
        <w:t>FR: TF 5D 64/2023 du 17 avril 2023</w:t>
      </w:r>
    </w:p>
    <w:p>
      <w:r>
        <w:t>IT: TF 5D 64/2023 del 17 aprile 2023</w:t>
      </w:r>
    </w:p>
    <w:p>
      <w:pPr>
        <w:pStyle w:val="Heading2"/>
      </w:pPr>
      <w:r>
        <w:t>Regeste</w:t>
      </w:r>
    </w:p>
    <w:p>
      <w:r>
        <w:t>Kostenvorschuss (Rechtsöffnung) | Schuldbetreibungs- und Konkursrecht</w:t>
      </w:r>
    </w:p>
    <w:p>
      <w:pPr>
        <w:pStyle w:val="Heading2"/>
      </w:pPr>
      <w:r>
        <w:t>Erwägungen</w:t>
      </w:r>
    </w:p>
    <w:p>
      <w:r>
        <w:rPr>
          <w:b/>
        </w:rPr>
        <w:t>E. 1</w:t>
      </w:r>
    </w:p>
    <w:p>
      <w:r>
        <w:t>Bei Kostenvorschussverfügungen geht es um Zwischenentscheide, die nur ausnahmsweise unter den besonderen Bedingungen von Art. 93 Abs. 1 BGG beim Bundesgericht angefochten werden können, wobei die betreffenden Voraussetzungen in der Beschwerde darzutun sind ( BGE 137 III 324 E. 1.1; 141 III 80 E. 1.2; 141 IV 289 E. 1.3). Sodann ist zu beachten, dass der Streitwert unter Fr. 30'000.-- liegt und deshalb einzig die subsidiäre Verfassungsbeschwerde möglich ist (Art. 74 Abs. 1 lit. b i.V.m. Art. 113 BGG ), mit welcher nur Verfassungsrügen erhoben werden können ( Art. 116 BGG ), für welche das strenge Rügeprinzip gilt (Art. 106 Abs. 2 i.V.m. Art. 117 BGG ). Sodann hat die Beschwerde konkrete Begehren in der Sache zu enthalten ( Art. 42 Abs. 1 BGG ).</w:t>
      </w:r>
    </w:p>
    <w:p>
      <w:r>
        <w:rPr>
          <w:b/>
        </w:rPr>
        <w:t>E. 2</w:t>
      </w:r>
    </w:p>
    <w:p>
      <w:r>
        <w:t>Die Beschwerden genügen keiner der genannten Anforderungen: Sie enthalten keine sachbezogenen Rechtsbegehren. Sodann erfolgen keine Ausführungen zu den Beschwerdevoraussetzungen von Art. 93 Abs. 1 BGG . Soweit die Vorbringen überhaupt verständlich sind, scheinen sie grösstenteils direkt die Rechtsöffnungsangelegenheit und im Übrigen die persönlichen Lebensumstände zu betreffen. Sinngemäss auf den Kostenvorschuss bezieht sich höchstens die Aussage, das Obergericht habe seinen Aufwand gemäss § 5.9.1 des SchKG beim Kanton zu erheben; Verfassungsrügen im Zusammenhang mit der Erhebung eines Kostenvorschusses lassen sich indes nicht ausmachen.</w:t>
      </w:r>
    </w:p>
    <w:p>
      <w:r>
        <w:rPr>
          <w:b/>
        </w:rPr>
        <w:t>E. 3</w:t>
      </w:r>
    </w:p>
    <w:p>
      <w:r>
        <w:t>Nach dem Gesagten mangelt es an genügenden Beschwerdebegehren und sind die Beschwerden im Übrigen offensichtlich nicht hinreichend begründet, weshalb auf sie im vereinfachten Verfahren nach Art. 108 Abs. 1 lit. b BGG nicht einzutreten ist.</w:t>
      </w:r>
    </w:p>
    <w:p>
      <w:r>
        <w:rPr>
          <w:b/>
        </w:rPr>
        <w:t>E. 4</w:t>
      </w:r>
    </w:p>
    <w:p>
      <w:r>
        <w:t>Angesichts der konkreten Umstände ist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