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63/2022 vom 17. Juni 2022</w:t>
      </w:r>
    </w:p>
    <w:p>
      <w:r>
        <w:t>Bundesgericht, 2022-06-17, FR</w:t>
      </w:r>
    </w:p>
    <w:p>
      <w:r>
        <w:rPr>
          <w:b/>
        </w:rPr>
        <w:t xml:space="preserve">Quelle: </w:t>
      </w:r>
      <w:r>
        <w:t>https://mcp.opencaselaw.ch/entscheid/bger_5D_63_2022</w:t>
      </w:r>
    </w:p>
    <w:p>
      <w:r>
        <w:t>FR: TF 5D 63/2022 du 17 juin 2022</w:t>
      </w:r>
    </w:p>
    <w:p>
      <w:r>
        <w:t>IT: TF 5D 63/2022 del 17 giugno 2022</w:t>
      </w:r>
    </w:p>
    <w:p>
      <w:pPr>
        <w:pStyle w:val="Heading2"/>
      </w:pPr>
      <w:r>
        <w:t>Regeste</w:t>
      </w:r>
    </w:p>
    <w:p>
      <w:r>
        <w:t>Avance de frais (mainlevée définitive de l'opposition) | Droit des poursuites et faillites</w:t>
      </w:r>
    </w:p>
    <w:p>
      <w:pPr>
        <w:pStyle w:val="Heading2"/>
      </w:pPr>
      <w:r>
        <w:t>Erwägungen</w:t>
      </w:r>
    </w:p>
    <w:p>
      <w:r>
        <w:rPr>
          <w:b/>
        </w:rPr>
        <w:t>E. 1</w:t>
      </w:r>
    </w:p>
    <w:p>
      <w:r>
        <w:t>Par décision du 31 mars 2022, la Chambre civile de la Cour de justice du canton de Genève a imparti à A.________ un délai au 11 avril 2022 pour le paiement d'une avance de frais de 150 fr. dans le cadre du recours qu'il a interjeté à l'encontre d'un jugement de mainlevée de l'opposition.</w:t>
      </w:r>
    </w:p>
    <w:p>
      <w:r>
        <w:rPr>
          <w:b/>
        </w:rPr>
        <w:t>E. 2</w:t>
      </w:r>
    </w:p>
    <w:p>
      <w:r>
        <w:t>Par acte remis à la Poste suisse le 25 avril 2022, A.________ exerce un recours au Tribunal fédéral.</w:t>
      </w:r>
    </w:p>
    <w:p>
      <w:r>
        <w:rPr>
          <w:b/>
        </w:rPr>
        <w:t>E. 3</w:t>
      </w:r>
    </w:p>
    <w:p>
      <w:r>
        <w:t>Eu égard à la valeur litigieuse inférieure au seuil légal de 30'000 fr. ( art. 74 al. 1 let. b LTF ; mainlevée définitive prononcée à concurrence de 500 fr.), le présent recours doit être traité en tant que recours constitutionnel subsidiaire au sens des art. 113 ss LTF . 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("principe d'allégation"; ATF 146 I 62 consid. 3; 144 II 313 consid. 5.1; 142 II 369 consid. 2.1; 142 III 364 consid. 2.4). Au surplus, il doit exister un lien entre la motivation du recours et la décision attaquée ( ATF 145 V 161 consid. 5.2; 134 II 244 consid. 2.1 et 2.3). En l'espèce, le recourant disserte sur l'émergence de l'intelligence artificielle au sein de la justice en retraçant l'histoire de cette institution. Le présent recours est ainsi manifestement irrecevable: d'une part, il ne contient aucune motivation au sujet de sa recevabilité eu égard à la décision incidente attaquée qui serait de nature à lui causer un préjudice (juridique) irréparable ( art. 93 al. 1 let. a LTF , par renvoi de l' art. 117 LTF ; ATF 142 III 798 , avec les arrêts cités); d'autre part, il est dépourvu de toute conclusion et de la moindre critique - a fortiori de rang constitutionnel - intelligible et clairement motivée ( art. 106 al. 2 LTF , par renvoi de l' art. 117 LTF ).</w:t>
      </w:r>
    </w:p>
    <w:p>
      <w:r>
        <w:rPr>
          <w:b/>
        </w:rPr>
        <w:t>E. 4</w:t>
      </w:r>
    </w:p>
    <w:p>
      <w:r>
        <w:t>En conclusion, le présent recours doit être d'emblée déclaré irrecevable par voie de procédure simplifiée ( art. 108 al. 1 let. a et b LTF , par renvoi de l' art. 117 LTF ), aux frais de son auteur ( art. 66 al. 1 LTF ). Le recourant, qui s'obstine à saisir le Tribunal fédéral de recours constamment irrecevables, est expressément informé que toute nouvelle écriture du même style sera désormais classée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