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5D_61/2020 vom 25. März 2020</w:t>
      </w:r>
    </w:p>
    <w:p>
      <w:r>
        <w:t>Bundesgericht, 2020-03-25, DE</w:t>
      </w:r>
    </w:p>
    <w:p>
      <w:r>
        <w:rPr>
          <w:b/>
        </w:rPr>
        <w:t xml:space="preserve">Quelle: </w:t>
      </w:r>
      <w:r>
        <w:t>https://mcp.opencaselaw.ch/entscheid/bger_5D_61_2020</w:t>
      </w:r>
    </w:p>
    <w:p>
      <w:r>
        <w:t>FR: TF 5D_61/2020 du 25 mars 2020</w:t>
      </w:r>
    </w:p>
    <w:p>
      <w:r>
        <w:t>IT: TF 5D_61/2020 del 25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über den Erlass einer rechtskräftigen Gerichtskostenforderung von Fr. 6'000.--. Die Frage des Kostenerlasses ist bundesrechtlich geregelt, aber der für die Beschwerde in Zivilsachen erforderliche Mindeststreitwert von Fr. 30'000.-- ist nicht erreicht ( Art. 74 Abs. 1 lit. b BGG ).</w:t>
      </w:r>
    </w:p>
    <w:p>
      <w:r>
        <w:rPr>
          <w:b/>
        </w:rPr>
        <w:t>E. 2</w:t>
      </w:r>
    </w:p>
    <w:p>
      <w:r>
        <w:t>Somit kann nur subsidiäre Verfassungsbeschwerde erhoben ( Art. 113 BGG ) und mit dieser bloss die Verletzung verfassungsmässiger Rechte gerügt werden ( Art. 116 BGG ), wofür das strenge Rügeprinzip gilt (Art. 106 Abs. 2 i.V.m. Art. 117 BGG ).</w:t>
      </w:r>
    </w:p>
    <w:p>
      <w:r>
        <w:rPr>
          <w:b/>
        </w:rPr>
        <w:t>E. 3</w:t>
      </w:r>
    </w:p>
    <w:p>
      <w:r>
        <w:t>Zur Begründung wird einzig vorgebracht: "Wie Sie aus beiliegendem Deckblatt unserer Aufsichtsbeschwerde erkennen, bin ich in einem umfangreichen Schriftverkehr mit dem Obergericht eingebunden mit dem Ziel: Aufhebung der angefochtenen Entscheide, da diese laut unserer Rechtsauffassung keine Rechtswirksamkeit besitzen."</w:t>
      </w:r>
    </w:p>
    <w:p>
      <w:r>
        <w:t>Damit werden keine verfassungsmässigen Rechte als verletzt angerufen und es wird auch inhaltlich nicht dargelegt, inwiefern solche verletzt sein sollen.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