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5D_61/2017 vom 26. April 2017</w:t>
      </w:r>
    </w:p>
    <w:p>
      <w:r>
        <w:t>Bundesgericht, 2017-04-26, DE</w:t>
      </w:r>
    </w:p>
    <w:p>
      <w:r>
        <w:rPr>
          <w:b/>
        </w:rPr>
        <w:t xml:space="preserve">Quelle: </w:t>
      </w:r>
      <w:r>
        <w:t>https://mcp.opencaselaw.ch/entscheid/bger_5D_61_2017</w:t>
      </w:r>
    </w:p>
    <w:p>
      <w:r>
        <w:t>FR: TF 5D_61/2017 du 26 avril 2017</w:t>
      </w:r>
    </w:p>
    <w:p>
      <w:r>
        <w:t>IT: TF 5D_61/2017 del 26 aprile 2017</w:t>
      </w:r>
    </w:p>
    <w:p>
      <w:pPr>
        <w:pStyle w:val="Heading2"/>
      </w:pPr>
      <w:r>
        <w:t>Erwägungen</w:t>
      </w:r>
    </w:p>
    <w:p>
      <w:r>
        <w:rPr>
          <w:b/>
        </w:rPr>
        <w:t>E. 1</w:t>
      </w:r>
    </w:p>
    <w:p>
      <w:r>
        <w:t>Mit Urteil vom 3. Januar 2017 erteilte das Bezirksgericht Bülach dem Beschwerdegegner in der Betreibung Nr. www des Betreibungsamts U.________ (Zahlungsbefehl vom 12. Juli 2016) für Bundessteuern der Steuerperiode 2012 definitive Rechtsöffnung für Fr. 937.75 nebst 3 % Zins seit 7. Juli 2016, für Fr. 111.35 aufgelaufene Zinsen, für die Betreibungskosten sowie für Kosten und Entschädigung gemäss diesem Entscheid.</w:t>
      </w:r>
    </w:p>
    <w:p>
      <w:r>
        <w:t>Gegen das Urteil des Bezirksgerichts erhob der Beschwerdeführer am 23. Januar 2017 Beschwerde an das Obergericht des Kantons Zürich. Mit Urteil vom 1. März 2017 (Geschäfts-Nr. RT170020-O/U) wies das Obergericht die Beschwerde ab, soweit es darauf eintrat. Das Obergericht trat nicht ein auf "Anträge an die Enteigner" (Der Bundesrat als Enteigner habe Notrecht aufzuheben und die im Notrecht erlassenen Bundesgerichtsurteile und alle damit verbundenen Entscheide anderer Instanzen seien zu löschen; Eigentum, Vermögen und Erwerbsausfall seien zurückzuführen bzw. zu erstatten und die Geschäftsfähigkeit des Beschwerdeführers sei wiederherzustellen). Diese Anträge beträfen nicht das bezirksgerichtliche Urteil. Sodann mache der Beschwerdeführer geltend, dass die Forderungen nicht bzw. nicht zu Recht bestünden (Steuerüberforderungen als Teil einer widerrechtlichen Enteignung). Das Obergericht hielt dem entgegen, im Rechtsöffnungsverfahren sei nicht mehr zu prüfen, ob die Forderungen zu Recht bestünden.</w:t>
      </w:r>
    </w:p>
    <w:p>
      <w:r>
        <w:t>Am 24. April 2017 ist der Beschwerdeführer gegen dieses Urteil an das Bundesgericht gelangt.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Der Beschwerdeführer stellt ähnliche Anträge an den Bundesrat wie in der kantonalen Beschwerde (unter dem Titel "formelle Schadenersatzklage"). Dies ist nicht Verfahrensgegenstand. Darauf und die dazu gehörenden Rügen ist nicht einzutreten. Ebenso wenig können vor Bundesgericht Anträge in einem offenbar vor Bezirksgericht Bülach hängigen Rechtsöffnungsverfahren gestellt werden. Unzulässig ist sodann der Antrag, dem Beschwerdeführer seien das - offenbar in einer Steuereinschätzung für 2012 - verfügte Einkommen von Fr. 50'000.-- und das dort verfügte Vermögen von Fr. 500'000.-- durch den Bundesrat zu überweisen. Mit dem Inhalt des angefochtenen Urteils befasst sich der Beschwerdeführer nicht.</w:t>
      </w:r>
    </w:p>
    <w:p>
      <w:r>
        <w:t>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