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5D_60/2019 vom 14. März 2019</w:t>
      </w:r>
    </w:p>
    <w:p>
      <w:r>
        <w:t>Bundesgericht, 2019-03-14, DE</w:t>
      </w:r>
    </w:p>
    <w:p>
      <w:r>
        <w:rPr>
          <w:b/>
        </w:rPr>
        <w:t xml:space="preserve">Quelle: </w:t>
      </w:r>
      <w:r>
        <w:t>https://mcp.opencaselaw.ch/entscheid/bger_5D_60_2019</w:t>
      </w:r>
    </w:p>
    <w:p>
      <w:r>
        <w:t>FR: TF 5D_60/2019 du 14 mars 2019</w:t>
      </w:r>
    </w:p>
    <w:p>
      <w:r>
        <w:t>IT: TF 5D_60/2019 del 14 marzo 2019</w:t>
      </w:r>
    </w:p>
    <w:p>
      <w:pPr>
        <w:pStyle w:val="Heading2"/>
      </w:pPr>
      <w:r>
        <w:t>Erwägungen</w:t>
      </w:r>
    </w:p>
    <w:p>
      <w:r>
        <w:rPr>
          <w:b/>
        </w:rPr>
        <w:t>E. 1</w:t>
      </w:r>
    </w:p>
    <w:p>
      <w:r>
        <w:t>Mit Entscheid vom 19. November 2018 erteilte das Bezirksgericht Zofingen der Beschwerdegegnerin gegenüber der Beschwerdeführerin in der Betreibung Nr. xxx des Regionalen Betreibungsamtes Zofingen definitive Rechtsöffnung für Fr. 15'098.45 nebst Zins.</w:t>
      </w:r>
    </w:p>
    <w:p>
      <w:r>
        <w:t>Dagegen erhob die Beschwerdeführerin am 10. Dezember 2018 (Postaufgabe) Beschwerde an das Obergericht des Kantons Aargau. Mit Entscheid vom 21. Januar 2019 wies das Obergericht die Beschwerde ab.</w:t>
      </w:r>
    </w:p>
    <w:p>
      <w:r>
        <w:t>Gegen diesen Entscheid hat die Beschwerdeführerin am 8. März 2019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soweit die Beschwerdeführerin die Unrichtigkeit der als Rechtsöffnungstitel vorgelegten und eine vollstreckbare Verfügung darstellenden Prämienrechnung (Prämienrechnung vom 20. Juli 2017 für die Prämien der Berufs- und Nichtberufsunfallversicherung der Jahre 2012 bis 2015) geltend mache, könne sie im Rechtsöffnungsverfahren nicht gehört werden. Mit der zutreffenden Begründung des Bezirksgerichts (Prämienrechnungen für die öffentliche Unfallversicherung seien Verfügungen nach Art. 80 Abs. 2 Ziff. 2 SchKG , wenn sie auf einer Einreihungsverfügung beruhten; die Prämienrechnung und die vorgelegten Einreihungsverfügungen für die Jahre 2012 bis 2015 seien vollstreckbar; keine Geltendmachung von Tilgung, Stundung oder Verjährung) setze sie sich nicht auseinander. Die bezirksgerichtliche Begründung stehe mit der bundesgerichtlichen Rechtsprechung in Einklang (mit Hinweis auf BGE 143 III 162 ).</w:t>
      </w:r>
    </w:p>
    <w:p>
      <w:r>
        <w:rPr>
          <w:b/>
        </w:rPr>
        <w:t>E. 4</w:t>
      </w:r>
    </w:p>
    <w:p>
      <w:r>
        <w:t>Die Beschwerdeführerin beruft sich auf Verjährung. Dies hätte sie im kantonalen Verfahren tun müssen. Ausserdem macht sie - wie vor den Vorinstanzen - geltend, bei der B.________ versichert zu sein. Damit bestreitet sie erneut bloss die Korrektheit der Prämienrechnung, ohne sich mit den Erwägungen des Obergerichts zu befassen, wonach sie dies im Rechtsöffnungsverfahren nicht tun könne. Die Beschwerdeführerin scheint schliesslich geltend machen zu wollen, sie habe Zahlungen an die Beschwerdegegnerin geleistet. Darauf sei nie eingegangen worden, als sie sich gewehrt habe. Soweit die Beschwerdeführerin damit (teilweise) Tilgung behaupten will, belegt sie weder entsprechende Zahlungen noch legt sie dar, dass sie die Tilgung tatsächlich im kantonalen Verfahren behauptet oder bewiesen hätte.</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