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5D_5/2026 vom 21. April 2026</w:t>
      </w:r>
    </w:p>
    <w:p>
      <w:r>
        <w:t>Bundesgericht, 2026-04-21, DE</w:t>
      </w:r>
    </w:p>
    <w:p>
      <w:r>
        <w:rPr>
          <w:b/>
        </w:rPr>
        <w:t xml:space="preserve">Quelle: </w:t>
      </w:r>
      <w:r>
        <w:t>https://mcp.opencaselaw.ch/entscheid/bger_5D_5_2026</w:t>
      </w:r>
    </w:p>
    <w:p>
      <w:r>
        <w:t>FR: TF 5D_5/2026 du 21 avril 2026</w:t>
      </w:r>
    </w:p>
    <w:p>
      <w:r>
        <w:t>IT: TF 5D_5/2026 del 21 aprile 2026</w:t>
      </w:r>
    </w:p>
    <w:p>
      <w:pPr>
        <w:pStyle w:val="Heading2"/>
      </w:pPr>
      <w:r>
        <w:t>Erwägungen</w:t>
      </w:r>
    </w:p>
    <w:p>
      <w:r>
        <w:rPr>
          <w:b/>
        </w:rPr>
        <w:t>E. 1</w:t>
      </w:r>
    </w:p>
    <w:p>
      <w:r>
        <w:t>Mit Urteil vom 25. März 2025 stellte das Bezirksgericht Uster den Bestand einer Forderung der Beschwerdegegnerin gegenüber dem Beschwerdeführer in der Höhe von Fr. 10'265.70 fest und wies das Grundbuchamt Dübendorf an, das bereits vorläufig eingetragene gesetzliche Pfandrecht für die Forderung zuzüglich Zins definitiv im Grundbuch einzutragen.</w:t>
      </w:r>
    </w:p>
    <w:p>
      <w:r>
        <w:t>Dagegen erhob der Beschwerdeführer mit Eingabe vom 14. Oktober 2025 Berufung. Mit Urteil vom 8. Januar 2026 wies das Obergericht des Kantons Zürich die Berufung ab, soweit es darauf eintrat, und es bestätigte das angefochtene Urteil.</w:t>
      </w:r>
    </w:p>
    <w:p>
      <w:r>
        <w:t>Gegen das Urteil des Obergerichts hat der Beschwerdeführer am 19. Februar 2026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gegeben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stellt in weitschweifiger Weise seine Sicht auf den Sachverhalt und die Rechtslage dar. Nur am Rande setzt er bei den obergerichtlichen Erwägungen an. Statt sich detailliert mit diesen Erwägungen auseinanderzusetzen, wirft er den Vorinstanzen wiederholt und in pauschaler Weise Rechtsverweigerung und Verletzungen des rechtlichen Gehörs ( Art. 29 Abs. 1 und 2 BV ) vor. Dies genügt den Rügeanforderungen nicht. Unsubstantiiert bleibt auch der Vorwurf, das Obergericht habe parteiisch geurteilt.</w:t>
      </w:r>
    </w:p>
    <w:p>
      <w:r>
        <w:t>Die Beschwerde enthält offensichtlich keine hinreichende Begründung. Der Abteilungspräsident tritt auf sie im vereinfachten Verfahren nicht ein (Art. 117 i.V.m.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