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5D_5/2023 vom 24. Januar 2023</w:t>
      </w:r>
    </w:p>
    <w:p>
      <w:r>
        <w:t>Bundesgericht, 2023-01-24, DE</w:t>
      </w:r>
    </w:p>
    <w:p>
      <w:r>
        <w:rPr>
          <w:b/>
        </w:rPr>
        <w:t xml:space="preserve">Quelle: </w:t>
      </w:r>
      <w:r>
        <w:t>https://mcp.opencaselaw.ch/entscheid/bger_5D_5_2023</w:t>
      </w:r>
    </w:p>
    <w:p>
      <w:r>
        <w:t>FR: TF 5D_5/2023 du 24 janvier 2023</w:t>
      </w:r>
    </w:p>
    <w:p>
      <w:r>
        <w:t>IT: TF 5D_5/2023 del 24 gennaio 2023</w:t>
      </w:r>
    </w:p>
    <w:p>
      <w:pPr>
        <w:pStyle w:val="Heading2"/>
      </w:pPr>
      <w:r>
        <w:t>Erwägungen</w:t>
      </w:r>
    </w:p>
    <w:p>
      <w:r>
        <w:rPr>
          <w:b/>
        </w:rPr>
        <w:t>E. 1</w:t>
      </w:r>
    </w:p>
    <w:p>
      <w:r>
        <w:t>Mit Urteil vom 3. November 2022 erteilte das Bezirksgericht Zürich dem Beschwerdegegner gegenüber der Beschwerdeführerin in der Betreibung Nr. xxx des Betreibungsamtes Zürich 9 definitive Rechtsöffnung für Fr. 544.75 nebst Zins.</w:t>
      </w:r>
    </w:p>
    <w:p>
      <w:r>
        <w:t>Dagegen erhob die Beschwerdeführerin am 28. November 2022 (Poststempel) Beschwerde. Mit Urteil vom 8. Dezember 2022 wies das Obergericht des Kantons Zürich die Beschwerde ab.</w:t>
      </w:r>
    </w:p>
    <w:p>
      <w:r>
        <w:t>Dagegen hat die Beschwerdeführerin am 9. Januar 2023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hat erwogen, die Beschwerdeführerin habe sich vor Bezirksgericht nicht vernehmen lassen. In der Beschwerde bringe sie vor, in den Jahren 2016 bis 2018 kein Personal beschäftigt zu haben. Sinngemäss mache sie damit geltend, die als Rechtsöffnungstitel dienende Verfügung vom 26. August 2021 beruhe auf einem falschen Sachverhalt. Dabei handle es sich um eine unzulässige neue Behauptung ( Art. 326 Abs. 1 ZPO ). Abgesehen davon könne die Verfügung im Rechtsöffnungsverfahren nicht mehr inhaltlich überprüft werden.</w:t>
      </w:r>
    </w:p>
    <w:p>
      <w:r>
        <w:t>Vor Bundesgericht wendet sich die Beschwerdeführerin wiederum gegen die als Rechtsöffnungstitel dienende Verfügung. Sie macht geltend, für die Quellensteuern sei damals die B.________ AG zuständig gewesen, die mit der Beschwerdeführerin nichts direkt zu tun gehabt habe. Das Steueramt habe einfach die CHE-Nummern ausgetauscht. Das rieche nach Urkundenfälschung. Zudem sollen die Quellensteuern gemäss telefonischer Aussage des Steueramts C.________ betreffen, der aber seit Jahren in Zürich Steuern zahle. Bei alldem fehlt eine Auseinandersetzung mit den obergerichtlichen Erwägungen zum Novenverbot und zur Prüfungsbefugnis des Rechtsöffnungsrichters und die Beschwerdeführerin legt nicht dar, inwiefern das Obergericht verfassungsmässige Rechte verletzt haben soll.</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