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5D_59/2019 vom 19. März 2019</w:t>
      </w:r>
    </w:p>
    <w:p>
      <w:r>
        <w:t>Bundesgericht, 2019-03-19, FR</w:t>
      </w:r>
    </w:p>
    <w:p>
      <w:r>
        <w:rPr>
          <w:b/>
        </w:rPr>
        <w:t xml:space="preserve">Quelle: </w:t>
      </w:r>
      <w:r>
        <w:t>https://mcp.opencaselaw.ch/entscheid/bger_5D_59_2019</w:t>
      </w:r>
    </w:p>
    <w:p>
      <w:r>
        <w:t>FR: TF 5D_59/2019 du 19 mars 2019</w:t>
      </w:r>
    </w:p>
    <w:p>
      <w:r>
        <w:t>IT: TF 5D_59/2019 del 19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21 septembre 2018, l'Etat de Vaud a fait notifier à A.________ un commandement de payer la somme de 9'365 fr.45, correspondant à des frais pénaux impayés (</w:t>
      </w:r>
    </w:p>
    <w:p>
      <w:r>
        <w:t>poursuite n° xxxxxx de l'Office des poursuites de la Gruyère ). Statuant le 11 décembre 2018, la Présidente du Tribunal civil de l'arrondissement de la Gruyère a levé définitivement l'opposition du poursuivi. Par arrêt du 22 février 2019, la IIe Cour d'appel civil du Tribunal cantonal de l'Etat de Fribourg a partiellement admis le recours déposé par celui-ci et prononcé la mainlevée définitive de l'opposition à concurrence de 1'280 fr., plus frais de poursuite.</w:t>
      </w:r>
    </w:p>
    <w:p>
      <w:r>
        <w:rPr>
          <w:b/>
        </w:rPr>
        <w:t>E. 2</w:t>
      </w:r>
    </w:p>
    <w:p>
      <w:r>
        <w:t>Par écriture expédiée le 8 mars 2019, le poursuivi interjette un recours au Tribunal fédéral contre l'arrêt cantonal; il conclut au maintien de son opposition et à l'allocation de 1'500 fr. à titre de dépens.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décision attaquée est en principe susceptible de recours en matière civile ( art. 72 al. 2 let. a LTF ; ATF 134 III 520 consid. 1.1). Le recourant soutient que, malgré l'insuffisance de la valeur litigieuse ( art. 74 al. 1 let. b LTF ), le présent litige poserait "</w:t>
      </w:r>
    </w:p>
    <w:p>
      <w:r>
        <w:t>plusieurs questions juridiques de principe ", si bien que la voie du "</w:t>
      </w:r>
    </w:p>
    <w:p>
      <w:r>
        <w:t>recours ordinaire " serait ouverte. Une telle affirmation est cependant dépourvue de toute motivation ( art. 42 al. 2 LTF , en lien avec l' art. 74 al. 2 let. a LTF ), de sorte que l'écriture de l'intéressé est traitée en tant que recours constitutionnel subsidiaire au sens des art. 113 LTF ss.</w:t>
      </w:r>
    </w:p>
    <w:p>
      <w:r>
        <w:rPr>
          <w:b/>
        </w:rPr>
        <w:t>E. 4.1</w:t>
      </w:r>
    </w:p>
    <w:p>
      <w:r>
        <w:t>En l'espèce, la juridiction précédente a retenu que les prononcés pénaux invoqués par le poursuivant - en particulier celui du Tribunal d'arrondissement de la Broye et du Nord vaudois du 27 juin 2017 -, n'ont pas mis à la charge du poursuivi l'indemnité du défenseur d'office, à savoir 8'085 fr.45; faute d'un titre pour cette prétention, la mainlevée définitive doit être refusée. En revanche, elle doit être accordée pour les autres montants réclamés en poursuite, c'est-à-dire 400 fr. et deux fois 440 fr. (</w:t>
      </w:r>
    </w:p>
    <w:p>
      <w:r>
        <w:t>i.e. 1'280 fr. au total), lesquels reposent sur des jugements exécutoires. Certes, un arrangement de paiement a été conclu avec le débiteur le 6 avril 2018; toutefois, il ressort d'un courrier du poursuivant du 6 juin 2018 que cet accord a été annulé d'office, "</w:t>
      </w:r>
    </w:p>
    <w:p>
      <w:r>
        <w:t>faute de paiement par le débiteur des montants convenus dans le délai ".</w:t>
      </w:r>
    </w:p>
    <w:p>
      <w:r>
        <w:rPr>
          <w:b/>
        </w:rPr>
        <w:t>E. 4.2</w:t>
      </w:r>
    </w:p>
    <w:p>
      <w:r>
        <w:t>Le recourant prétend avoir apporté la preuve de l'arrangement de paiement en cause, en première instance déjà; à cet égard, il se réfère à un "</w:t>
      </w:r>
    </w:p>
    <w:p>
      <w:r>
        <w:t>courrier du 3 octobre 2018 " dans lequel il aurait fourni à sa partie adverse "</w:t>
      </w:r>
    </w:p>
    <w:p>
      <w:r>
        <w:t>tous les documents demandés ". Or, une telle argumentation ne comporte pas la moindre réfutation du motif de l'autorité précédente fondé sur le courrier du poursuivant du 6 juin 2018 ( art. 106 al. 2 LTF ;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