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5D_58/2022 vom 13. April 2022</w:t>
      </w:r>
    </w:p>
    <w:p>
      <w:r>
        <w:t>Bundesgericht, 2022-04-13, DE</w:t>
      </w:r>
    </w:p>
    <w:p>
      <w:r>
        <w:rPr>
          <w:b/>
        </w:rPr>
        <w:t xml:space="preserve">Quelle: </w:t>
      </w:r>
      <w:r>
        <w:t>https://mcp.opencaselaw.ch/entscheid/bger_5D_58_2022</w:t>
      </w:r>
    </w:p>
    <w:p>
      <w:r>
        <w:t>FR: TF 5D_58/2022 du 13 avril 2022</w:t>
      </w:r>
    </w:p>
    <w:p>
      <w:r>
        <w:t>IT: TF 5D_58/2022 del 13 aprile 2022</w:t>
      </w:r>
    </w:p>
    <w:p>
      <w:pPr>
        <w:pStyle w:val="Heading2"/>
      </w:pPr>
      <w:r>
        <w:t>Erwägungen</w:t>
      </w:r>
    </w:p>
    <w:p>
      <w:r>
        <w:rPr>
          <w:b/>
        </w:rPr>
        <w:t>E. 1</w:t>
      </w:r>
    </w:p>
    <w:p>
      <w:r>
        <w:t>Der Streitwert beträgt gemäss den unbeanstandeten Feststellungen im angefochtenen Entscheid Fr. 962.-- Damit ist die Beschwerde in Zivilsachen nicht gegeben, weil diese einen Mindeststreitwert von Fr. 30'000.-- voraussetzt ( Art. 74 Abs. 1 lit. b BGG ). Vielmehr steht die subsidiäre Verfassungsbeschwerde zur Verfügung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Es werden keinerlei verfassungsmässige Bestimmungen genannt, welche verletzt sein könnten, und noch weniger werden inhaltlich Verfassungsrügen erhoben. Die Beschwerdebegründung beschränkt sich vielmehr auf pauschale Kritik und Polemik (das Bezirksgericht habe zweimal ein Urteil gefällt, obwohl es befangen sei und ihm die Entscheidkompetenz nicht zustehe; das Obergericht habe diese Schweinerei nicht gestoppt, sondern mitgemacht, was schändlich sei; auch dem Obergericht stehe es nicht zu, in dieser Angelegenheit Beschlüsse oder Urteile zu fällen; die Betreibung sei nie gerechtfertigt gewesen und müsse durch das Bundesgericht als ungültig erklärt werden; im schweizerischen Rechtsstaat könne man sich jede Schweinerei erlauben und daran eine goldene Nase verdienen; alle Urteile seien vom Bundesgericht per sofort aufzuheben; das Ganze sei skandalös).</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