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5D_58/2021 vom 14. April 2021</w:t>
      </w:r>
    </w:p>
    <w:p>
      <w:r>
        <w:t>Bundesgericht, 2021-04-14, DE</w:t>
      </w:r>
    </w:p>
    <w:p>
      <w:r>
        <w:rPr>
          <w:b/>
        </w:rPr>
        <w:t xml:space="preserve">Quelle: </w:t>
      </w:r>
      <w:r>
        <w:t>https://mcp.opencaselaw.ch/entscheid/bger_5D_58_2021</w:t>
      </w:r>
    </w:p>
    <w:p>
      <w:r>
        <w:t>FR: TF 5D_58/2021 du 14 avril 2021</w:t>
      </w:r>
    </w:p>
    <w:p>
      <w:r>
        <w:t>IT: TF 5D_58/2021 del 14 aprile 2021</w:t>
      </w:r>
    </w:p>
    <w:p>
      <w:pPr>
        <w:pStyle w:val="Heading2"/>
      </w:pPr>
      <w:r>
        <w:t>Erwägungen</w:t>
      </w:r>
    </w:p>
    <w:p>
      <w:r>
        <w:rPr>
          <w:b/>
        </w:rPr>
        <w:t>E. 1</w:t>
      </w:r>
    </w:p>
    <w:p>
      <w:r>
        <w:t>Mit Entscheid vom 29. Januar 2021 erteilte das Bezirksgericht Hochdorf der Beschwerdegegnerin gegenüber der Beschwerdeführerin in der Betreibung Nr. xxx des Betreibungsamtes U.________ die definitive Rechtsöffnung für Fr. 525.-- nebst Zins.</w:t>
      </w:r>
    </w:p>
    <w:p>
      <w:r>
        <w:t>Dagegen erhob die Beschwerdeführerin am 8. Februar 2021 (Postaufgabe) Beschwerde an das Kantonsgericht Luzern. Mit Entscheid vom 9. März 2021 wies das Kantonsgericht die Beschwerde ab, soweit es darauf eintrat.</w:t>
      </w:r>
    </w:p>
    <w:p>
      <w:r>
        <w:t>Dagegen hat die Beschwerdeführerin am 7. April 2021 (Postaufgabe) "Einsprache"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Entgegen dem Dispositiv handelt es sich beim angefochtenen Entscheid um einen Nichteintretensentscheid, und zwar infolge mangelnder Begründung. Auch auf neue Ausführungen (betreffend Ausschaltung des Onlineshops der Beschwerdeführerin) ist das Kantonsgericht nicht eingetreten. Die Abweisung erfolgt in einer blossen Eventualerwägung, d.h. für den Fall, dass auf die Beschwerde einzutreten wäre. Dabei hat das Kantonsgericht erwogen, es gelinge der Beschwerdeführerin nicht, die Rechtskraftbescheinigung betreffend die zu vollstreckende Verfügung des BAKOM vom 9. Oktober 2019 in Zweifel zu ziehen.</w:t>
      </w:r>
    </w:p>
    <w:p>
      <w:r>
        <w:t>Vor Bundesgericht geht die Beschwerdeführerin weder auf das eine noch das andere ein und sie legt nicht dar, inwiefern gegen verfassungsmässige Rechte verstossen worden sein soll. Stattdessen führt sie bloss aus, die ihr vom BAKOM auferlegte Busse sei nicht gerechtfertigt und sie verlangt den Ersatz des Umsatzausfalls durch das BAKOM. Das Bundesgericht ist jedoch weder Aufsichtsbehörde über das BAKOM noch für das Schadenersatzbegehren zuständig. Die Bussenverfügung hätte die Beschwerdeführerin mit den zutreffenden Rechtsmitteln anfechten müssen.</w:t>
      </w:r>
    </w:p>
    <w:p>
      <w:r>
        <w:t>Die Beschwerde enthält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