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5D_58/2019 vom 13. März 2019</w:t>
      </w:r>
    </w:p>
    <w:p>
      <w:r>
        <w:t>Bundesgericht, 2019-03-13, DE</w:t>
      </w:r>
    </w:p>
    <w:p>
      <w:r>
        <w:rPr>
          <w:b/>
        </w:rPr>
        <w:t xml:space="preserve">Quelle: </w:t>
      </w:r>
      <w:r>
        <w:t>https://mcp.opencaselaw.ch/entscheid/bger_5D_58_2019</w:t>
      </w:r>
    </w:p>
    <w:p>
      <w:r>
        <w:t>FR: TF 5D_58/2019 du 13 mars 2019</w:t>
      </w:r>
    </w:p>
    <w:p>
      <w:r>
        <w:t>IT: TF 5D_58/2019 del 13 marzo 2019</w:t>
      </w:r>
    </w:p>
    <w:p>
      <w:pPr>
        <w:pStyle w:val="Heading2"/>
      </w:pPr>
      <w:r>
        <w:t>Erwägungen</w:t>
      </w:r>
    </w:p>
    <w:p>
      <w:r>
        <w:rPr>
          <w:b/>
        </w:rPr>
        <w:t>E. 1</w:t>
      </w:r>
    </w:p>
    <w:p>
      <w:r>
        <w:t>Mit Urteil vom 17. Dezember 2018 wies das Bezirksgericht Dielsdorf das in der Betreibung Nr. xxx des Betreibungsamtes U.________ gegen den Beschwerdeführer gerichtete Gesuch des Beschwerdegegners um definitive Rechtsöffnung für Fr. 792.50 (Kosten Strafbefehl) und Fr. 53.30 (Kosten Zahlungsbefehl) unter Kostenfolge zulasten des Beschwerdegegners ab. Parteientschädigungen wurden nicht zugesprochen.</w:t>
      </w:r>
    </w:p>
    <w:p>
      <w:r>
        <w:t>Dagegen erhob der Beschwerdeführer am 7. Januar 2019 Beschwerde an das Obergericht des Kantons Zürich. Mit Beschluss vom 25. Januar 2019 trat das Obergericht auf die Beschwerde nicht ein, da dem Beschwerdeführer durch das angefochtene Urteil kein Nachteil entstanden sei. Zudem wies es den Beschwerdeführer darauf hin, dass die I. Zivilkammer des Obergerichts für eine allfällige Revision des Strafbefehls des Statthalteramts des Bezirks Dielsdorf vom 23. April 2018 bzw. die Verfügung des Einzelgerichts in Strafsachen am Bezirksgericht Dielsdorf vom 1. Juni 2018 sowie diejenige der III. Strafkammer des Obergerichts vom 14. August 2018 nicht zuständig sei, womit auf seine Forderung nach einem Freispruch nicht einzugehen sei. Das Obergericht auferlegte dem Beschwerdeführer die Gerichtskosten von Fr. 150.-- und sprach keine Parteientschädigungen zu.</w:t>
      </w:r>
    </w:p>
    <w:p>
      <w:r>
        <w:t>Gegen diesen Beschluss hat der Beschwerdeführer am 8. März 2019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setzt sich mit keinem Wort mit den Erwägungen des Obergerichts auseinander. Stattdessen schildert er den angeblichen Ablauf eines Handgemenges. Er übergeht, dass im vorliegenden Rechtsöffnungsverfahren nicht über eine allfällige Revision von strafrechtlichen Entscheiden zu befinden ist. Dazu hat er den dafür vorgesehenen Rechtsweg einzuschlagen.</w:t>
      </w:r>
    </w:p>
    <w:p>
      <w:r>
        <w:t>Die Beschwerde enthält damit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