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5D_57/2022 vom 14. April 2022</w:t>
      </w:r>
    </w:p>
    <w:p>
      <w:r>
        <w:t>Bundesgericht, 2022-04-14, DE</w:t>
      </w:r>
    </w:p>
    <w:p>
      <w:r>
        <w:rPr>
          <w:b/>
        </w:rPr>
        <w:t xml:space="preserve">Quelle: </w:t>
      </w:r>
      <w:r>
        <w:t>https://mcp.opencaselaw.ch/entscheid/bger_5D_57_2022</w:t>
      </w:r>
    </w:p>
    <w:p>
      <w:r>
        <w:t>FR: TF 5D_57/2022 du 14 avril 2022</w:t>
      </w:r>
    </w:p>
    <w:p>
      <w:r>
        <w:t>IT: TF 5D_57/2022 del 14 aprile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Kantonsgericht hat auf der Grundlage der Steuererklärung 2020 ein monatliches Nettoeinkommen von Fr. 3'922.42 und einen Bedarf von Fr. 3'722.-- festgestellt (Grundbetrag Fr. 1'200.--, Zuschlag 20 % Fr. 240.--; Wohnkosten Fr. 1'050.--; Krankenkasse Fr. 325.--; auswärtige Verpflegung Fr. 100.--; Arbeitsweg Fr. 100.--; Steuern Fr. 247.--; Unterhalt für B.________ Fr. 460.--), wobei es sich zu diesen und den weiteren vom Beschwerdeführer geltend gemachten Auslagen beweiswürdigend geäussert hat.</w:t>
      </w:r>
    </w:p>
    <w:p>
      <w:r>
        <w:t>Der Beschwerdeführer erhebt diesbezüglich keine Willkürrügen, sondern er macht teils höhere und sodann weitere Bedarfspositionen geltend, insgesamt einen Bedarf von Fr. 4'500.--. Er tut dies aber nicht nur in appellatorischer und damit ungenügender Weise, sondern überhaupt ohne sich zu den betreffenden beweiswürdigenden Sachverhaltsfeststellungen im angefochtenen Entscheid zu äussern. Mithin hat es bei diesen sein Bewenden.</w:t>
      </w:r>
    </w:p>
    <w:p>
      <w:r>
        <w:rPr>
          <w:b/>
        </w:rPr>
        <w:t>E. 3</w:t>
      </w:r>
    </w:p>
    <w:p>
      <w:r>
        <w:t>Davon ausgehend sind keine Rechtsverletzungen auszumachen, wenn das Kantonsgericht befunden hat, mit dem Überschuss von Fr. 200.42 pro Monat bzw. Fr. 2'405.42 pro Jahr könne der Beschwerdeführer die Forderung von Fr. 1'033.-- innert eines halben Jahres tilgen. Mit der wiederholten Kritik, es handle sich um lustige Aussagen, banale Argumente und ein rassistisches Urteil, ist keine Rechtsverletzung darzutun. Soweit der Beschwerdeführer sinngemäss eine verweigerte unentgeltliche Rechtspflege und die Missachtung eingereichter Beweise geltend zu machen scheint, lässt sich mangels näherer und nachvollziehbarer Ausführungen nicht erkennen, worauf er im Einzelnen zielt. Wenn er sodann Art. 8a Abs. 3 lit. d SchKG anführt, geht es offensichtlich um die Bekanntgabe von Betreibungen; dies ist nicht Thema des vorliegenden Verfahrens, sondern war Gegenstand des Urteils 5A_15/2022. Unter Berufung auf Art. 47 Abs. 1 ZPO wird schliesslich eine Befangenheit diverser Gerichte und Betreibungsämter geltend gemacht; vorliegend thematisiert werden könnte nur diejenige der Gerichtspersonen, die am angefochtenen Entscheid mitgewirkt haben, wobei keine näheren Ausführungen erfolgen, welche auch nur ansatzweise auf eine bei objektiver Betrachtung bestehende Gefahr der Voreingenommenheit deuten könnten. Die weiteren Zitate aus diversen Gesetzen stehen in keinem ersichtlichen Zusammenhang mit dem vorliegenden Verfahren.</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