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5D_57/2019 vom 19. März 2019</w:t>
      </w:r>
    </w:p>
    <w:p>
      <w:r>
        <w:t>Bundesgericht, 2019-03-19, FR</w:t>
      </w:r>
    </w:p>
    <w:p>
      <w:r>
        <w:rPr>
          <w:b/>
        </w:rPr>
        <w:t xml:space="preserve">Quelle: </w:t>
      </w:r>
      <w:r>
        <w:t>https://mcp.opencaselaw.ch/entscheid/bger_5D_57_2019</w:t>
      </w:r>
    </w:p>
    <w:p>
      <w:r>
        <w:t>FR: TF 5D_57/2019 du 19 mars 2019</w:t>
      </w:r>
    </w:p>
    <w:p>
      <w:r>
        <w:t>IT: TF 5D_57/2019 del 19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21 septembre 2018, l'Etat de Vaud a fait notifier à A.________ un commandement de payer la somme de 2'340 fr., correspondant à des frais pénaux impayés (</w:t>
      </w:r>
    </w:p>
    <w:p>
      <w:r>
        <w:t>poursuite n° xxxxxx de l'Office des poursuites de la Gruyère ). Statuant le 11 décembre 2018, la Présidente du Tribunal civil de l'arrondissement de la Gruyère a levé définitivement l'opposition du poursuivi. Par arrêt du 28 janvier 2019, la IIe Cour d'appel civil du Tribunal cantonal de l'Etat de Fribourg a rejeté le recours interjeté par l'intéressé.</w:t>
      </w:r>
    </w:p>
    <w:p>
      <w:r>
        <w:rPr>
          <w:b/>
        </w:rPr>
        <w:t>E. 2</w:t>
      </w:r>
    </w:p>
    <w:p>
      <w:r>
        <w:t>Par écriture expédiée le 7 mars 2019, le poursuivi interjette un recours au Tribunal fédéral contre l'arrêt cantonal; il conclut au maintien de son opposition et à l'allocation de 1'500 fr. à titre de dépens.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décision attaquée est en principe susceptible de recours en matière civile ( art. 72 al. 2 let. a LTF ; ATF 134 III 520 consid. 1.1). Le recourant soutient que, malgré l'insuffisance de la valeur litigieuse ( art. 74 al. 1 let. b LTF ), le présent litige poserait "</w:t>
      </w:r>
    </w:p>
    <w:p>
      <w:r>
        <w:t>plusieurs questions juridiques de principe ", si bien que la voie du "</w:t>
      </w:r>
    </w:p>
    <w:p>
      <w:r>
        <w:t>recours ordinaire " serait ouverte. Une telle affirmation est cependant dépourvue de toute motivation ( art. 42 al. 2 LTF , en lien avec l' art. 74 al. 2 let. a LTF ), de sorte que l'écriture de l'intéressé est traitée en tant que recours constitutionnel subsidiaire au sens des art. 113 LTF ss.</w:t>
      </w:r>
    </w:p>
    <w:p>
      <w:r>
        <w:rPr>
          <w:b/>
        </w:rPr>
        <w:t>E. 4.1</w:t>
      </w:r>
    </w:p>
    <w:p>
      <w:r>
        <w:t>Après avoir rappelé les conditions auxquelles est subordonnée la prise en considération d'un "</w:t>
      </w:r>
    </w:p>
    <w:p>
      <w:r>
        <w:t>sursis au paiement " dans la procédure de mainlevée définitive, la juridiction précédente a retenu que le recourant n'avait produit aucun titre à l'appui de ses allégations selon lesquelles il avait conclu un "</w:t>
      </w:r>
    </w:p>
    <w:p>
      <w:r>
        <w:t>arrangement de paiement " avec le poursuivant.</w:t>
      </w:r>
    </w:p>
    <w:p>
      <w:r>
        <w:rPr>
          <w:b/>
        </w:rPr>
        <w:t>E. 4.2</w:t>
      </w:r>
    </w:p>
    <w:p>
      <w:r>
        <w:t>Le recourant prétend avoir apporté la preuve de l'arrangement de paiement en cause, en première instance déjà; à cet égard, il se réfère à un "</w:t>
      </w:r>
    </w:p>
    <w:p>
      <w:r>
        <w:t>courrier du 3 octobre 2018 " dans lequel il aurait fourni à sa partie adverse "</w:t>
      </w:r>
    </w:p>
    <w:p>
      <w:r>
        <w:t>tous les documents demandés ".</w:t>
      </w:r>
    </w:p>
    <w:p>
      <w:r>
        <w:t>Quoi qu'en dise le recourant, le courrier allégué - qui ne figure pas au dossier cantonal - ne constitue pas un "</w:t>
      </w:r>
    </w:p>
    <w:p>
      <w:r>
        <w:t>sursis au paiement " tel que l'a défini l'autorité cantonale, faute, en particulier, d'un titre contenant un accord clair du</w:t>
      </w:r>
    </w:p>
    <w:p>
      <w:r>
        <w:t>poursuivant quant au report de l'exigibilité de la dette en poursuite. L'intéressé ne démontre aucunement en quoi cette opinion serait arbitraire ( art. 106 al. 2 LTF ; ATF 136 I 332 consid. 2.1, avec les arrêts cités).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117 LTF),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