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5D_56/2020 vom 19. März 2020</w:t>
      </w:r>
    </w:p>
    <w:p>
      <w:r>
        <w:t>Bundesgericht, 2020-03-19, DE</w:t>
      </w:r>
    </w:p>
    <w:p>
      <w:r>
        <w:rPr>
          <w:b/>
        </w:rPr>
        <w:t xml:space="preserve">Quelle: </w:t>
      </w:r>
      <w:r>
        <w:t>https://mcp.opencaselaw.ch/entscheid/bger_5D_56_2020</w:t>
      </w:r>
    </w:p>
    <w:p>
      <w:r>
        <w:t>FR: TF 5D_56/2020 du 19 mars 2020</w:t>
      </w:r>
    </w:p>
    <w:p>
      <w:r>
        <w:t>IT: TF 5D_56/2020 del 19 marzo 2020</w:t>
      </w:r>
    </w:p>
    <w:p>
      <w:pPr>
        <w:pStyle w:val="Heading2"/>
      </w:pPr>
      <w:r>
        <w:t>Erwägungen</w:t>
      </w:r>
    </w:p>
    <w:p>
      <w:r>
        <w:rPr>
          <w:b/>
        </w:rPr>
        <w:t>E. 1</w:t>
      </w:r>
    </w:p>
    <w:p>
      <w:r>
        <w:t>Der angefochtene Entscheid stützt sich auf Besitzes- und Eigentumsrecht, insbesondere auf Art. 928 ZGB . Es handelt sich mithin um eine vermögensrechtliche Zivilsache, wobei der Streitwert Fr. 10'000.-- beträgt; damit ist der für die Beschwerde in Zivilsachen erforderliche Mindeststreitwert nicht erreicht und steht einzig die subsidiäre Verfassungsbeschwerde offen (Art. 72 Abs. 1 i.V.m. Art. 74 Abs. 1 lit. b und Art. 113 BGG ).</w:t>
      </w:r>
    </w:p>
    <w:p>
      <w:r>
        <w:rPr>
          <w:b/>
        </w:rPr>
        <w:t>E. 2</w:t>
      </w:r>
    </w:p>
    <w:p>
      <w:r>
        <w:t>Mit der subsidiären Verfassungsbeschwerde kann einzig die Verletzung verfassungsmässiger Rechte geltend gemacht werden ( Art. 116 BGG ). Hierfür gilt das strenge Rügeprinzip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135 III 232 E. 1.2 S. 234; 142 III 364 E. 2.4 S. 368).</w:t>
      </w:r>
    </w:p>
    <w:p>
      <w:r>
        <w:rPr>
          <w:b/>
        </w:rPr>
        <w:t>E. 3</w:t>
      </w:r>
    </w:p>
    <w:p>
      <w:r>
        <w:t>Das Kantonsgericht bejahte den Verfügungsanspruch der Beschwerdegegnerin, welche als öffentlich-rechtliche Körperschaft Eigentümerin und selbständige Besitzerin der Kathedrale ist, indem der Beschwerdeführer sie in der Ausübung des Besitzes störe. Er wolle mit seinem Protest die Kirche zum Dialog wegen angeblicher Misstände zwingen, wobei er sich dabei unerlaubter Mittel bediene; selbst wenn die Vorhalte des Beschwerdeführers zuträfen, würde kein die Besitzesstörung rechtfertigender Notstand im Sinn von Art. 52 Abs. 2 OR oder Art. 701 ZGB bestehen. Sodann bejahte das Kantonsgericht auch den Verfügungsgrund; der Nachteil ergebe sich bereits daraus, dass sich die Beeinträchtigung im Nachhinein nicht rückgängig machen lasse. Ferner bejahte es auch die Dringlichkeit.</w:t>
      </w:r>
    </w:p>
    <w:p>
      <w:r>
        <w:rPr>
          <w:b/>
        </w:rPr>
        <w:t>E. 4</w:t>
      </w:r>
    </w:p>
    <w:p>
      <w:r>
        <w:t>Die Beschwerde besteht grösstenteils in appellatorischen Ausführungen zu angeblichen Misständen in der Kirche, namentlich auch in personeller Hinsicht, wobei über weite Strecken nur schwer nachvollziehbar ist, worin sie genau bestehen sollen, und ferner zu früherem und aktuellem Verhalten der Kirche ihm gegenüber.</w:t>
      </w:r>
    </w:p>
    <w:p>
      <w:r>
        <w:t>An verfassungsmässigen Rechten wird Art. 6 EMRK (S. 4, 6 und 13) sowie Art. 13 EMRK (S. 8) erwähnt; allerdings lässt sich aus den Ausführungen nicht erschliessen, worin die Verletzung bestehen soll.</w:t>
      </w:r>
    </w:p>
    <w:p>
      <w:r>
        <w:t>Einigermassen nachvollziehbar im Zusammenhang mit verfassungsmässigen Rechten sind einzig die Ausführungen zu einer angeblichen Verletzung von Art. 10 EMRK , indem der Beschwerdegegnerin unterstellt wird, seine Kritik in verborgener Weise bzw. in Andeutungen zu diskreditieren, indem sie wegschaue und es an Dialogbereitschaft vermissen lasse. Letztlich möchte der Beschwerdeführer damit sinngemäss die Meinungsäusserungsfreiheit als Rechtfertigungsgrund für die Besitzesstörung - dass eine solche vorliegt, stellt der Beschwerdeführer nicht in Frage und ist deshalb auch nicht näher zu erörtern - anführen. Dazu müsste er sich aber mit den Erwägungen des angefochtenen Entscheides, welche einen rechtfertigenden Notstand verneinen, im Einzelnen auseinandersetzen. Im Übrigen hat sich auch die Ausübung von Grundrechten im Rahmen der Rechtsordnung abzuspielen; die Grundrechtsausübung macht Zivilrechtsverletzungen nicht per se zulässig (vgl. z.B. BGE 120 II 225 E. 3b 227 betreffend persönlichkeitsverletzende Meinungsäusserung).</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