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55/2012 vom 20. März 2012</w:t>
      </w:r>
    </w:p>
    <w:p>
      <w:r>
        <w:t>Bundesgericht, 2012-03-20, IT</w:t>
      </w:r>
    </w:p>
    <w:p>
      <w:r>
        <w:rPr>
          <w:b/>
        </w:rPr>
        <w:t xml:space="preserve">Quelle: </w:t>
      </w:r>
      <w:r>
        <w:t>https://mcp.opencaselaw.ch/entscheid/bger_5D_55_2012</w:t>
      </w:r>
    </w:p>
    <w:p>
      <w:r>
        <w:t>FR: TF 5D 55/2012 du 20 mars 2012</w:t>
      </w:r>
    </w:p>
    <w:p>
      <w:r>
        <w:t>IT: TF 5D 55/2012 del 20 marzo 2012</w:t>
      </w:r>
    </w:p>
    <w:p>
      <w:pPr>
        <w:pStyle w:val="Heading2"/>
      </w:pPr>
      <w:r>
        <w:t>Regeste</w:t>
      </w:r>
    </w:p>
    <w:p>
      <w:r>
        <w:t>reiscrizione della servitù | Diritti reali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rPr>
          <w:b/>
        </w:rPr>
        <w:t>E. 3</w:t>
      </w:r>
    </w:p>
    <w:p>
      <w:r>
        <w:t>Comunicazione alle parti e alla III Camera civile del Tribunale d'appello del Cantone Ticino. Losanna, 20 marzo 2012 In nome della II Corte di diritto civile del Tribunale federale svizzero La Presidente: Hohl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