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5D_54/2022 vom 7. April 2022</w:t>
      </w:r>
    </w:p>
    <w:p>
      <w:r>
        <w:t>Bundesgericht, 2022-04-07, DE</w:t>
      </w:r>
    </w:p>
    <w:p>
      <w:r>
        <w:rPr>
          <w:b/>
        </w:rPr>
        <w:t xml:space="preserve">Quelle: </w:t>
      </w:r>
      <w:r>
        <w:t>https://mcp.opencaselaw.ch/entscheid/bger_5D_54_2022</w:t>
      </w:r>
    </w:p>
    <w:p>
      <w:r>
        <w:t>FR: TF 5D_54/2022 du 7 avril 2022</w:t>
      </w:r>
    </w:p>
    <w:p>
      <w:r>
        <w:t>IT: TF 5D_54/2022 del 7 aprile 2022</w:t>
      </w:r>
    </w:p>
    <w:p>
      <w:pPr>
        <w:pStyle w:val="Heading2"/>
      </w:pPr>
      <w:r>
        <w:t>Erwägungen</w:t>
      </w:r>
    </w:p>
    <w:p>
      <w:r>
        <w:rPr>
          <w:b/>
        </w:rPr>
        <w:t>E. 1</w:t>
      </w:r>
    </w:p>
    <w:p>
      <w:r>
        <w:t>Mit Entscheid vom 3. März 2022 erteilte das Bezirksgericht Kulm den Beschwerdegegnern gegenüber dem Beschwerdeführer in der Betreibung Nr. xxx des Regionalen Betreibungsamtes Reinach die definitive Rechtsöffnung für Fr. 683.-- nebst Zins sowie für Fr. 78.20 (Verfahren SR.2022.22).</w:t>
      </w:r>
    </w:p>
    <w:p>
      <w:r>
        <w:t>In einem offenbar gegen diesen Entscheid gerichteten Beschwerdeverfahren setzte das Obergericht des Kantons Aargau dem Beschwerdeführer mit Verfügung vom 22. März 2022 eine Frist an zur Bezahlung eines Kostenvorschusses von Fr. 225.--.</w:t>
      </w:r>
    </w:p>
    <w:p>
      <w:r>
        <w:t>Dagegen hat der Beschwerdeführer am 4. April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w:t>
      </w:r>
    </w:p>
    <w:p>
      <w:r>
        <w:t>Bei der Anordnung einer 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vom Beschwerdeführer darzulegen ist ( BGE 144 III 475 E. 1.2 mit Hinweisen). Der Beschwerdeführer legt nicht dar, dass ihm ein solcher Nachteil drohen könnte (vgl. zum in Betracht fallenden Nachteil BGE 142 III 798 E. 2). Soweit der Beschwerdeführer auf andere Eingaben verweist, ist darauf nicht einzugehen ( BGE 143 II 283 E. 1.2.3; 138 III 252 E. 3.2; 133 II 396 E. 3.1). Die Beschwerde erschöpft sich in einem Rundumschlag gegen Gerichte und Behörden. Ein allfälliges Ablehnungsgesuch gegen einzelne Mitglieder des Obergerichts ist an das Obergericht zu richten.</w:t>
      </w:r>
    </w:p>
    <w:p>
      <w:r>
        <w:t>Die Beschwerde ist damit offensichtlich unzulässig bzw. sie enthält offensichtlich keine hinreichende Begründung. Zudem ist sie querulatorisch und rechtsmissbräuchlich. Darauf ist im vereinfachten Verfahren durch das präsidierende Mitglied der Abteilung nicht einzutreten (Art. 117 i.V.m. Art. 108 Abs. 1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