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5D_53/2024 vom 12. Dezember 2025</w:t>
      </w:r>
    </w:p>
    <w:p>
      <w:r>
        <w:t>Bundesgericht, 2025-12-12, DE</w:t>
      </w:r>
    </w:p>
    <w:p>
      <w:r>
        <w:rPr>
          <w:b/>
        </w:rPr>
        <w:t xml:space="preserve">Quelle: </w:t>
      </w:r>
      <w:r>
        <w:t>https://mcp.opencaselaw.ch/entscheid/bger_5D_53_2024</w:t>
      </w:r>
    </w:p>
    <w:p>
      <w:r>
        <w:t>FR: TF 5D_53/2024 du 12 décembre 2025</w:t>
      </w:r>
    </w:p>
    <w:p>
      <w:r>
        <w:t>IT: TF 5D_53/2024 del 12 dicembre 2025</w:t>
      </w:r>
    </w:p>
    <w:p>
      <w:pPr>
        <w:pStyle w:val="Heading2"/>
      </w:pPr>
      <w:r>
        <w:t>Erwägungen</w:t>
      </w:r>
    </w:p>
    <w:p>
      <w:r>
        <w:rPr>
          <w:b/>
        </w:rPr>
        <w:t>E. 1</w:t>
      </w:r>
    </w:p>
    <w:p>
      <w:r>
        <w:t>Angefochten ist ein kantonal letztinstanzliches Urteil in einer Zivilrechtsstreitigkeit mit einem Streitwert von weniger als Fr. 30'000.--; mithin ist nicht die Beschwerde in Zivilsachen, sondern die subsidiäre Verfassungsbeschwerde gegeben (Art. 72 Abs. 1, Art. 74 Abs. 1 lit. b, Art. 75 Abs. 1, Art. 90 und Art. 113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3</w:t>
      </w:r>
    </w:p>
    <w:p>
      <w:r>
        <w:t>Von vornherein nicht einzutreten ist auf die Feststellungsbegehren, welche entweder nichts mit dem Anfechtungsgegenstand zu tun haben oder ansonsten im diesbezüglichen Leistungsbegehren aufgehen. Von vornherein unzulässig sind sodann die Begehren, welche sich direkt gegen den erstinstanzlichen Entscheid oder gegen andere Akte richten; Anfechtungsobjekt des bundesgerichtlichen Verfahrens kann ausschliesslich das obergerichtliche Urteil vom 24. September 2024 bilden (vgl. Art. 75 Abs. 1 BGG ).</w:t>
      </w:r>
    </w:p>
    <w:p>
      <w:r>
        <w:rPr>
          <w:b/>
        </w:rPr>
        <w:t>E. 4</w:t>
      </w:r>
    </w:p>
    <w:p>
      <w:r>
        <w:t>Die Beschwerde besteht vorab aus den bei sämtlichen Eingaben der Beschwerdeführerin üblichen allgemeinen Ausführungen zu verschiedenen verfassungsmässigen Rechten und zur Nichtigkeit. Erforderlich ist aber eine konkrete Bezugnahme auf die Entscheidpunkte und die diesbezüglichen Erwägungen des angefochtenen Entscheides. Auf das angefochtene Urteil bezieht sich das (in den Eingaben der Beschwerdeführerin häufige) Vorbringen, der Streitwert betrage Fr. 0.--. Allerdings ist die Begründung, die Stockwerkeigentümergemeinschaft habe an der Versammlung vom 17. April 2024 ihre gesamthaften Ausstände von Fr. 177'993.97 zusammengestellt - was in den Augen der Beschwerdeführerin sinngemäss eine Stundung zu sein scheint - und deshalb hätte die Klage als gegenstandslos abgeschrieben werden müssen, nicht geeignet, eine diesbezügliche Verfassungsverletzung darzutun, umso weniger als die (inhaltlich schwer verständlichen) Ausführungen durchgehend appellatorisch bleiben und deshalb keine Verfassungsrügen begründen. Was die Beanstandung des Kostenvorschusses für das obergerichtliche Verfahren anbelangt, war dieser nicht Teil des Urteils; einzig die darin enthaltene Kostenauferlegung könnte vorliegend angefochten werden. An der Sache vorbei geht sodann die Behauptung, dass es keine Stockwerkeigentümergemeinschaft, sondern nur Stockwerkeigentum und Stockwerkeigentümer gebe. Sinngemäss scheint die Beschwerdeführerin damit die Aktivlegitimation der Beschwerdegegnerin zu bestreiten, welche indes in eigenem Namen klagen und beklagt werden kann ( Art. 712l Abs. 2 ZGB ). Ohnehin werden aber auch in diesem Kontext keine Verfassungsrügen substanziiert, ebenso wenig im Zusammenhang mit den weiteren Ausführungen, welche Stockwerkeigentümer es gar nicht gebe, bzw. wer alles in den Augen der Beschwerdeführer gar nicht Stockwerkeigentümer ist.</w:t>
      </w:r>
    </w:p>
    <w:p>
      <w:r>
        <w:rPr>
          <w:b/>
        </w:rPr>
        <w:t>E. 5</w:t>
      </w:r>
    </w:p>
    <w:p>
      <w:r>
        <w:t>Insgesamt lassen sich der 29-seitigen Beschwerde keine konzisen Verfassungsrügen entnehmen, aus welchen ersichtlich wäre, inwiefern das angefochtene Urteil verfassungsmässige Rechte verletzen soll. Somit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