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5D_53/2023 vom 8. Mai 2023</w:t>
      </w:r>
    </w:p>
    <w:p>
      <w:r>
        <w:t>Bundesgericht, 2023-05-08, FR</w:t>
      </w:r>
    </w:p>
    <w:p>
      <w:r>
        <w:rPr>
          <w:b/>
        </w:rPr>
        <w:t xml:space="preserve">Quelle: </w:t>
      </w:r>
      <w:r>
        <w:t>https://mcp.opencaselaw.ch/entscheid/bger_5D_53_2023</w:t>
      </w:r>
    </w:p>
    <w:p>
      <w:r>
        <w:t>FR: TF 5D_53/2023 du 8 mai 2023</w:t>
      </w:r>
    </w:p>
    <w:p>
      <w:r>
        <w:t>IT: TF 5D_53/2023 del 8 maggio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décisions du 25 juillet 2022, le Service de protection des mineurs du canton de Genève (SPMi) a fixé</w:t>
      </w:r>
    </w:p>
    <w:p>
      <w:r>
        <w:t>(a) à 627 fr. 50 par mois la contribution de A.________ aux frais de pension de son fils B.________ pour la période du 18 août 2020 au 31 décembre 2020 et</w:t>
      </w:r>
    </w:p>
    <w:p>
      <w:r>
        <w:t>(b) à 15 fr. 20 par jour sa participation aux frais de placement de son fils B.________ pour la période du 1er janvier 2021 au 26 juillet 2022. Par courrier du même jour, le SPMi a constaté que la facturation pour les périodes en question n'avait pas été envoyée et que le solde dû était de 11'421 fr. 25; il a proposé à la mère d'acquitter cette somme sur une période de vingt-quatre mois, par des mensualités de 475 fr. 90 au moins, dès le 1er septembre 2022.</w:t>
      </w:r>
    </w:p>
    <w:p>
      <w:r>
        <w:t>Par arrêt du 24 janvier 2023, la Chambre administrative de la Cour de justice du canton de Genève a rejeté le recours de la mère à l'encontre de ces décisions, sans frais ni indemnité de procédure.</w:t>
      </w:r>
    </w:p>
    <w:p>
      <w:r>
        <w:rPr>
          <w:b/>
        </w:rPr>
        <w:t>E. 2</w:t>
      </w:r>
    </w:p>
    <w:p>
      <w:r>
        <w:t>Par écriture expédiée le 25 mars 2023, la mère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décision attaquée est une affaire pécuniaire, sujette en principe au recours en matière civile ( art. 72 ss LTF ; arrêt 5A_634/2014 consid. 1.1, non publié</w:t>
      </w:r>
    </w:p>
    <w:p>
      <w:r>
        <w:t>in : ATF 141 III 401 ). Toutefois, vu l'insuffisance de la valeur litigieuse ( art. 74 al. 1 let. b LTF ) et l'absence de question juridique de principe ( art. 74 al. 2 let. a LTF ), l'écriture de la recourante est traitée en tant que recours constitutionnel subsidiaire ( art. 113 ss LTF ).</w:t>
      </w:r>
    </w:p>
    <w:p>
      <w:r>
        <w:rPr>
          <w:b/>
        </w:rPr>
        <w:t>E. 4</w:t>
      </w:r>
    </w:p>
    <w:p>
      <w:r>
        <w:t>au 23 février 2023 , jour du retrait effectif de l'envoi, ne saurait être prise en considération dans la computation du délai de recours ( art. 100 al. 1 LTF ). Expédié le</w:t>
      </w:r>
    </w:p>
    <w:p>
      <w:r>
        <w:t>25 mars 2023 , le recours est amplement tardif, partant irrecevable.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let. a LTF ). Compte tenu des circonstances de l'espèce, il convient de renoncer à percevoir des frais judiciaires (art. 66 al. 1</w:t>
      </w:r>
    </w:p>
    <w:p>
      <w:r>
        <w:t>in fine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