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5D_52/2024 vom 31. Januar 2025</w:t>
      </w:r>
    </w:p>
    <w:p>
      <w:r>
        <w:t>Bundesgericht, 2025-01-31, DE</w:t>
      </w:r>
    </w:p>
    <w:p>
      <w:r>
        <w:rPr>
          <w:b/>
        </w:rPr>
        <w:t xml:space="preserve">Quelle: </w:t>
      </w:r>
      <w:r>
        <w:t>https://mcp.opencaselaw.ch/entscheid/bger_5D_52_2024</w:t>
      </w:r>
    </w:p>
    <w:p>
      <w:r>
        <w:t>FR: TF 5D_52/2024 du 31 janvier 2025</w:t>
      </w:r>
    </w:p>
    <w:p>
      <w:r>
        <w:t>IT: TF 5D_52/2024 del 31 gennaio 2025</w:t>
      </w:r>
    </w:p>
    <w:p>
      <w:pPr>
        <w:pStyle w:val="Heading2"/>
      </w:pPr>
      <w:r>
        <w:t>Erwägungen</w:t>
      </w:r>
    </w:p>
    <w:p>
      <w:r>
        <w:rPr>
          <w:b/>
        </w:rPr>
        <w:t>E. 1</w:t>
      </w:r>
    </w:p>
    <w:p>
      <w:r>
        <w:t>Die Beschwerdegegnerin betrieb die Beschwerdeführerin in der Betreibung Nr. xxx des Betreibungsamtes Zürich 7 für Verfahrenskosten von Fr. 200.-- nebst Zins und Betreibungskosten. Mit Eingabe vom 19. Dezember 2023 klagte die Beschwerdeführerin beim Bezirksgericht Zürich auf Feststellung des Nichtbestehens der Schuld ( Art. 85a SchKG ). Mit Urteil vom 4. April 2024 hiess das Bezirksgericht die Klage bezüglich des Zinses teilweise gut und wies sie im Übrigen ab. Dagegen erhob die Beschwerdeführerin am 22. Mai 2024 Beschwerde beim Obergericht des Kantons Zürich. Mit Entscheid vom 17. September 2024 wies das Obergericht das Sistierungsbegehren ab. Im Hinblick auf die erstinstanzlich der Beschwerdegegnerin zugesprochene Umtriebsentschädigung hiess es die Beschwerde gut. Im Übrigen wies es sie ab, soweit es darauf eintrat. Am 30. Oktober 2024 hat die Beschwerdeführerin Beschwerde an das Bundesgericht erhoben. Das Bundesgericht hat die Akten beigezogen.</w:t>
      </w:r>
    </w:p>
    <w:p>
      <w:r>
        <w:rPr>
          <w:b/>
        </w:rPr>
        <w:t>E. 2</w:t>
      </w:r>
    </w:p>
    <w:p>
      <w:r>
        <w:t>Die Beschwerdeführerin ersucht um Sistierung des Verfahrens, bis ihr Begehren um Berichtigung des Protokolls rechtskräftig entschieden sei. Sie bezieht sich dabei auf das Protokoll der Verhandlung vor Bezirksgericht. Sie legt nicht dar, inwiefern sie dieses berichtigen lassen möchte und weshalb die Berichtigung vorliegend von Belang sein sollte. Das Sistierungsgesuch ist abzuweisen.</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Die weitschweifige Beschwerde an das Bundesgericht entspricht zu grossen Teilen wörtlich der Beschwerde an das Obergericht. Dies genügt den Rügeanforderungen nicht ( BGE 134 II 244 E. 2.3). In den übrigen Teilen fehlen Verfassungsrügen und eine damit zusammenhängende Auseinandersetzung mit den obergerichtlichen Erwägungen. 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