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5D_4/2026 vom 25. Februar 2026</w:t>
      </w:r>
    </w:p>
    <w:p>
      <w:r>
        <w:t>Bundesgericht, 2026-02-25, DE</w:t>
      </w:r>
    </w:p>
    <w:p>
      <w:r>
        <w:rPr>
          <w:b/>
        </w:rPr>
        <w:t xml:space="preserve">Quelle: </w:t>
      </w:r>
      <w:r>
        <w:t>https://mcp.opencaselaw.ch/entscheid/bger_5D_4_2026</w:t>
      </w:r>
    </w:p>
    <w:p>
      <w:r>
        <w:t>FR: TF 5D_4/2026 du 25 février 2026</w:t>
      </w:r>
    </w:p>
    <w:p>
      <w:r>
        <w:t>IT: TF 5D_4/2026 del 25 febbraio 2026</w:t>
      </w:r>
    </w:p>
    <w:p>
      <w:pPr>
        <w:pStyle w:val="Heading2"/>
      </w:pPr>
      <w:r>
        <w:t>Erwägungen</w:t>
      </w:r>
    </w:p>
    <w:p>
      <w:r>
        <w:rPr>
          <w:b/>
        </w:rPr>
        <w:t>E. 1</w:t>
      </w:r>
    </w:p>
    <w:p>
      <w:r>
        <w:t>Am 3. Februar 2026 beantragte der Beschwerdeführer beim Kreisgericht St. Gallen superprovisorisch bzw. vorsorglich die Herausgabe eines im Besitz der Beschwerdegegnerin befindlichen Fernsehgeräts. Mit Entscheid vom 9. Februar 2026 wies das Kreisgericht das Gesuch um superprovisorische Anordnung vorsorglicher Massnahmen ab und setzte der Beschwerdegegnerin Frist an zur Stellungnahme.</w:t>
      </w:r>
    </w:p>
    <w:p>
      <w:r>
        <w:t>Gegen diesen Entscheid erhob der Beschwerdeführer am 10. Februar 2026 Beschwerde beim Kantonsgericht St. Gallen. Mit Entscheid vom 18. Februar 2026 trat das Kantonsgericht auf die Beschwerde nicht ein.</w:t>
      </w:r>
    </w:p>
    <w:p>
      <w:r>
        <w:t>Gegen diesen Entscheid hat der Beschwerdeführer am 20. Februar 2026 (Poststempel) subsidiäre Verfassungsbeschwerde an das Bundesgericht erhoben.</w:t>
      </w:r>
    </w:p>
    <w:p>
      <w:r>
        <w:rPr>
          <w:b/>
        </w:rPr>
        <w:t>E. 2</w:t>
      </w:r>
    </w:p>
    <w:p>
      <w:r>
        <w:t>Vorliegend geht es um eine superprovisorische Massnahme. Diesbezüglich besteht grundsätzlich kein Rechtsmittel an das Bundesgericht ( Art. 75 Abs. 1 BGG ; BGE 137 III 417 ; 140 III 289 E. 1.1). Der Beschwerdeführer macht zwar geltend, es bestehe die konkrete Gefahr der Veräusserung oder Weitergabe, der weiteren Entwertung und der faktischen Vereitelung der späteren Vollstreckung. Mit diesen unbelegten Behauptungen kann er jedoch nicht dartun, dass vorliegend ausnahmsweise ein Rechtsmittel an das Bundesgericht gegeben wäre.</w:t>
      </w:r>
    </w:p>
    <w:p>
      <w:r>
        <w:t>Die Beschwerde ist offensichtlich unzulässig. Der Abteilungspräsident tritt auf sie im vereinfachten Verfahren nicht ein (Art. 117 i.V.m. Art. 108 Abs. 1 lit. a BGG ).</w:t>
      </w:r>
    </w:p>
    <w:p>
      <w:r>
        <w:rPr>
          <w:b/>
        </w:rPr>
        <w:t>E. 3</w:t>
      </w:r>
    </w:p>
    <w:p>
      <w:r>
        <w:t>Bei diesem Ausgang des Verfahrens trägt der Beschwerdeführer die Gerichtskosten ( Art. 66 Abs. 1 BGG ). Es bestehen keine Gründe, um auf deren Erhebung zu verzichten. Der Beschwerdeführer verweist zwar auf seine Mittellosigkeit, stellt im bundesgerichtlichen Verfahren aber kein Gesuch um unentgeltliche Rechtspflege. Ein solches wäre infolge Aussichtslosigkeit der Beschwerde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