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4/2013 vom 11. März 2013</w:t>
      </w:r>
    </w:p>
    <w:p>
      <w:r>
        <w:t>Bundesgericht, 2013-03-11, DE</w:t>
      </w:r>
    </w:p>
    <w:p>
      <w:r>
        <w:rPr>
          <w:b/>
        </w:rPr>
        <w:t xml:space="preserve">Quelle: </w:t>
      </w:r>
      <w:r>
        <w:t>https://mcp.opencaselaw.ch/entscheid/bger_5D_4_2013</w:t>
      </w:r>
    </w:p>
    <w:p>
      <w:r>
        <w:t>FR: TF 5D 4/2013 du 11 mars 2013</w:t>
      </w:r>
    </w:p>
    <w:p>
      <w:r>
        <w:t>IT: TF 5D 4/2013 del 11 marzo 2013</w:t>
      </w:r>
    </w:p>
    <w:p>
      <w:pPr>
        <w:pStyle w:val="Heading2"/>
      </w:pPr>
      <w:r>
        <w:t>Regeste</w:t>
      </w:r>
    </w:p>
    <w:p>
      <w:r>
        <w:t>Definitive Rechtsöffnung (Kostenvorschuss im kantonalen Beschwerdeverfahren) | Schuldbetreibungs- und Konkursrecht</w:t>
      </w:r>
    </w:p>
    <w:p>
      <w:pPr>
        <w:pStyle w:val="Heading2"/>
      </w:pPr>
      <w:r>
        <w:t>Erwägungen</w:t>
      </w:r>
    </w:p>
    <w:p>
      <w:r>
        <w:rPr>
          <w:b/>
        </w:rPr>
        <w:t>E. 1.1</w:t>
      </w:r>
    </w:p>
    <w:p>
      <w:r>
        <w:t>Angefochten ist der Endentscheid eines oberen Gerichts, das auf Rechtsmittel hin kantonal letztinstanzlich auf eine Beschwerde betreffend eine definitive Rechtsöffnung und damit in einer Schuldbetreibungs- und Konkurssache nicht eingetreten ist ( Art. 90, Art. 75 und Art. 72 Abs. 2 lit. a BGG ). Da der für die Beschwerde in Zivilsachen in vermögensrechtlichen Angelegenheiten erforderliche Streitwert von mindestens Fr. 30'000.-- nicht erreicht ist und die Beschwerdeführerin nicht vorbringt, es stelle sich eine Rechtsfrage von grundsätzlicher Bedeutung ( Art. 74 und Art. 42 Abs. 2 BGG ; BGE 136 II 489 E. 2.6 S. 493 f.), ist ihre Eingabe - wie beantragt - als subsidiäre Verfassungsbeschwerde entgegen zu nehmen ( Art. 113 ff. BGG ).</w:t>
      </w:r>
    </w:p>
    <w:p>
      <w:r>
        <w:rPr>
          <w:b/>
        </w:rPr>
        <w:t>E. 1.2.1</w:t>
      </w:r>
    </w:p>
    <w:p>
      <w:r>
        <w:t>Die Erbschaft kann, solange die Teilung nicht erfolgt, eine vertragliche Gemeinderschaft nicht gebildet oder eine amtliche Liquidation nicht angeordnet ist, in der auf den Verstorbenen anwendbaren Betreibungsart an dem Ort betrieben werden, wo der Erblasser zur Zeit seines Todes betrieben werden konnte ( Art. 49 SchKG ). Wird die unverteilte Erbschaft als solche betrieben, richtet sich die Betreibung nur gegen die Vermögenswerte der Erbschaft, nicht gegen die Erben persönlich ( BGE 116 III 4 E. 2a S. 6 f.; 113 III 79 E. 4 S. 82). Ist die Betreibung gegen eine unverteilte Erbschaft gerichtet, so erfolgt die Zustellung von Betreibungsurkunden an den für die Erbschaft bestellten Vertreter, oder, wenn ein solcher nicht bekannt ist, an einen der Erben ( Art. 65 Abs. 3 SchKG ). Ist eine Erbschaft als solche gestützt auf Art. 49 SchKG passiv betreibungsfähig, so folgt daraus zwingend, dass ihr auch die Passivlegitimation im Rechtsöffnungsverfahren zuerkannt werden muss. Der summarische Charakter und die rasche Abwicklung des Rechtsöffnungsverfahrens erfordern, dass der Erbe, dem der Zahlungsbefehl zugestellt worden ist, die Erbschaft auch in diesem Verfahren zu vertreten hat. Das ergibt sich übrigens auch aus dem Umstand, dass das Rechtsöffnungsverfahren einen Bestandteil des Betreibungsverfahrens bildet ( BGE 102 II 385 E. 2 S. 388).</w:t>
      </w:r>
    </w:p>
    <w:p>
      <w:r>
        <w:rPr>
          <w:b/>
        </w:rPr>
        <w:t>E. 1.2.2</w:t>
      </w:r>
    </w:p>
    <w:p>
      <w:r>
        <w:t>Vorliegend hat die Beschwerdegegnerin (Gläubigerin) die Erbschaft als solche ins Recht gefasst und als deren Vertreterin die Beschwerdeführerin bezeichnet, der in der Folge der Zahlungsbefehl zugestellt wurde. Die kantonalen Instanzen behandelten im Rechtsöffnungsverfahren die Erbschaft als Gesuchsgegnerin (Gerichtspräsidium) beziehungsweise als Beklagte (Obergericht) und die Beschwerdeführerin als deren Vertreterin. Partei im vorinstanzlichen Verfahren war demnach die Erbschaft.</w:t>
      </w:r>
    </w:p>
    <w:p>
      <w:r>
        <w:rPr>
          <w:b/>
        </w:rPr>
        <w:t>E. 1.2.3</w:t>
      </w:r>
    </w:p>
    <w:p>
      <w:r>
        <w:t>Die Beschwerdeführerin erhebt in eigenem Namen Beschwerde an das Bundesgericht. Da auf die Beschwerde aus anderen Gründen nicht einzutreten ist (vgl. E. 2 unten), kann offengelassen werden, wie es sich insoweit verhält ( Art. 76 BGG ; vgl. auch Urteil 5A_472/2012 vom 17. Oktober 2012 E. 1.2).</w:t>
      </w:r>
    </w:p>
    <w:p>
      <w:r>
        <w:rPr>
          <w:b/>
        </w:rPr>
        <w:t>E. 2.1</w:t>
      </w:r>
    </w:p>
    <w:p>
      <w:r>
        <w:t>Die Beschwerdeführerin macht vor Bundesgericht geltend, es gehe nicht an, sie als Witwe von Y.________ für die Erbschaft "verantwortlich zu erklären" und einfach einen der Erben "herauszupicken". Das Rechtsöffnungsbegehren hätte - wenn es überhaupt zulässig sei - allen Erben zugestellt werden müssen. Der Entscheid des Gerichtspräsidiums verletze Verfahrensregeln und das Gesetz. Der Hinweis auf die "Erbschaft Y.________" verletze Rechts- und Formvorschriften. Deshalb könne von ihr auch kein Kostenvorschuss für ein weitergehendes Verfahren verlangt werden und das Verfahren vor dem Gerichtspräsidium und Obergericht sei zufolge falscher Parteibezeichnung aufzuheben.</w:t>
      </w:r>
    </w:p>
    <w:p>
      <w:r>
        <w:rPr>
          <w:b/>
        </w:rPr>
        <w:t>E. 2.2</w:t>
      </w:r>
    </w:p>
    <w:p>
      <w:r>
        <w:t>Mit der subsidiären Verfassungsbeschwerde kann die Verletzung verfassungsmässiger Rechte gerügt werden ( Art. 116 BGG ). Für die Verletzung verfassungsmässiger Rechte gilt das Rügeprinzip (Art. 117 i.V.m. Art. 106 Abs. 2 BGG ). Die Beschwerdeführerin muss angeben, welches verfassungsmässige Recht verletzt wurde, und substanziiert anhand der Erwägungen des angefochtenen Entscheids darlegen, worin die Verletzung besteht. Das Bundesgericht prüft nur ausdrücklich vorgebrachte, klar und detailliert erhobene sowie, soweit möglich, belegte Rügen. Genügt die Beschwerdeschrift diesen Begründungsanforderungen nicht, ist darauf nicht einzutreten ( BGE 136 I 332 E. 2.1 S. 334; 133 III 439 E. 3.2 S. 444).</w:t>
      </w:r>
    </w:p>
    <w:p>
      <w:r>
        <w:rPr>
          <w:b/>
        </w:rPr>
        <w:t>E. 2.3</w:t>
      </w:r>
    </w:p>
    <w:p>
      <w:r>
        <w:t>Die Beschwerdeführerin erhebt vor Bundesgericht keine Rüge der Verletzung eines verfassungsmässigen Rechts. Sie legt nicht dar, inwiefern das Obergericht zu Unrecht und in Verletzung eines verfassungsmässigen Rechts mangels Zahlung eines Kostenvorschusses nicht auf die von ihr erhobene Beschwerde eingetreten sein soll, zumal einzig diese prozessuale Frage den Beschwerdegegenstand des bundesgerichtlichen Verfahrens bildet (vgl. dazu BGE 138 III 46 E. 1.2 S. 48; 137 II 128 E. 2.5 f. S. 136). Genügt demnach die subsidiäre Verfassungsbeschwerde den erwähnten Begründungsanforderungen nicht, ist darauf nicht einzutreten (Art. 117 i.V.m. Art. 106 Abs. 2 BGG ; BGE 134 V 138 E. 2.1 S. 143).</w:t>
      </w:r>
    </w:p>
    <w:p>
      <w:r>
        <w:rPr>
          <w:b/>
        </w:rPr>
        <w:t>E. 3</w:t>
      </w:r>
    </w:p>
    <w:p>
      <w:r>
        <w:t>Bei diesem Ausgang des Verfahrens wird die Beschwerdeführerin kosten-, nicht hingegen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