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5D_4/2011 vom 20. April 2011</w:t>
      </w:r>
    </w:p>
    <w:p>
      <w:r>
        <w:t>Bundesgericht, 2011-04-20, DE</w:t>
      </w:r>
    </w:p>
    <w:p>
      <w:r>
        <w:rPr>
          <w:b/>
        </w:rPr>
        <w:t xml:space="preserve">Quelle: </w:t>
      </w:r>
      <w:r>
        <w:t>https://mcp.opencaselaw.ch/entscheid/bger_5D_4_2011</w:t>
      </w:r>
    </w:p>
    <w:p>
      <w:r>
        <w:t>FR: TF 5D_4/2011 du 20 avril 2011</w:t>
      </w:r>
    </w:p>
    <w:p>
      <w:r>
        <w:t>IT: TF 5D_4/2011 del 20 aprile 2011</w:t>
      </w:r>
    </w:p>
    <w:p>
      <w:pPr>
        <w:pStyle w:val="Heading2"/>
      </w:pPr>
      <w:r>
        <w:t>Erwägungen</w:t>
      </w:r>
    </w:p>
    <w:p>
      <w:r>
        <w:rPr>
          <w:b/>
        </w:rPr>
        <w:t>E. 1.1</w:t>
      </w:r>
    </w:p>
    <w:p>
      <w:r>
        <w:t>Angefochten ist ein selbständig erlassener Entscheid über die Entschädigung eines amtlichen Rechtsbeistandes. Entsprechend liegt ein Endentscheid ( Art. 90 BGG ) in einer vermögensrechtlichen Streitigkeit vor. Da der Streitwert der angefochtenen Entschädigung des amtlichen Rechtsbeistandes den gesetzlichen Mindeststreitwert von Fr. 30'000.-- für die Beschwerde in Zivilsachen ( Art. 72 Abs. 2 lit. b BGG ) nicht erreicht und keine Rechtsfrage von grundsätzlicher Bedeutung geltend gemacht wird ( Art. 74 BGG ), ist lediglich die subsidiäre Verfassungsbeschwerde zulässig ( Art. 113 BGG ). Zu deren Erhebung ist der Beschwerdeführer, dem das Honorar nicht seiner Kostenliste entsprechend festgesetzt wurde, berechtigt ( Art. 115 BGG ).</w:t>
      </w:r>
    </w:p>
    <w:p>
      <w:r>
        <w:rPr>
          <w:b/>
        </w:rPr>
        <w:t>E. 1.2</w:t>
      </w:r>
    </w:p>
    <w:p>
      <w:r>
        <w:t>Das angefochtene Urteil des Kantonsgerichts stellt einen letztinstanzlichen Entscheid dar (Art. 114 i.V.m. Art. 75 Abs. 1 BGG ), da eine Beschwerde an den Moderationshof des Kantonsgerichts ausgeschlossen ist (Freiburger Zeitschrift für Rechtsprechung [FZR] 2001, S. 56 f.).</w:t>
      </w:r>
    </w:p>
    <w:p>
      <w:r>
        <w:rPr>
          <w:b/>
        </w:rPr>
        <w:t>E. 2.1</w:t>
      </w:r>
    </w:p>
    <w:p>
      <w:r>
        <w:t>Mit der subsidiären Verfassungsbeschwerde kann die Verletzung verfassungsmässiger Rechte gerügt werden ( Art. 116 BGG ). Das Bundesgericht legt seinem Urteil den Sachverhalt zugrunde, den das Kantonsgericht festgestellt hat. Es kann diese Sachverhaltsfeststellung von Amtes wegen berichtigen oder ergänzen, wenn sie auf einer Verletzung verfassungsmässiger Rechte beruht (Art. 118 i.V.m. Art. 116 BGG ).</w:t>
      </w:r>
    </w:p>
    <w:p>
      <w:r>
        <w:rPr>
          <w:b/>
        </w:rPr>
        <w:t>E. 2.2</w:t>
      </w:r>
    </w:p>
    <w:p>
      <w:r>
        <w:t>Für die Verletzung verfassungsmässiger Rechte gilt das Rügeprinzip (Art. 117 i.V.m. Art. 106 Abs. 2 BGG ). Der Beschwerdeführer muss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Auf rein appellatorische Kritik am angefochtenen Entscheid tritt es nicht ein ( BGE 134 II 244 E. 2.2 S. 246).</w:t>
      </w:r>
    </w:p>
    <w:p>
      <w:r>
        <w:rPr>
          <w:b/>
        </w:rPr>
        <w:t>E. 3.1</w:t>
      </w:r>
    </w:p>
    <w:p>
      <w:r>
        <w:t>Das Kantonsgericht hat dem Beschwerdeführer als Auslagenersatz und Reiseentschädigung einen Betrag von Fr. 600.-- zugesprochen. Dies beanstandet er vor Bundesgericht nicht.</w:t>
      </w:r>
    </w:p>
    <w:p>
      <w:r>
        <w:rPr>
          <w:b/>
        </w:rPr>
        <w:t>E. 3.2</w:t>
      </w:r>
    </w:p>
    <w:p>
      <w:r>
        <w:t>Die vom Beschwerdeführer geltend gemachten Aufwendungen von rund 46 Stunden für anwaltliche Tätigkeit erachtete das Kantonsgericht als angemessen und begründete dies mit der langen Verfahrensdauer, dem nötigen Aktenstudium (6 Stunden), den Besprechungen mit dem Klienten (6 Stunden), den Konventionsverhandlungen (5 Stunden), den verfassten Rechtsschriften (13 Stunden), den "Weiterungen namentlich in Kinderbelangen" (5 Stunden) sowie den Gerichtsverhandlungen und deren Vorbereitung (rund 12 Stunden). Es entschädigte deshalb den Beschwerdeführer für diese "rund 46 Stunden" mit dem tarifmässig vorgesehenen Stundenansatz von Fr. 180.--. Auch dagegen wendet sich der Beschwerdeführer vor Bundesgericht nicht.</w:t>
      </w:r>
    </w:p>
    <w:p>
      <w:r>
        <w:rPr>
          <w:b/>
        </w:rPr>
        <w:t>E. 3.3</w:t>
      </w:r>
    </w:p>
    <w:p>
      <w:r>
        <w:t>Schliesslich behandelte das Kantonsgericht den vom Beschwerdeführer geltend gemachten Aufwand von 24 Stunden und 25 Minuten für Korrespondenz und Ähnliches (in der Kostenliste des Beschwerdeführers unter der Rubrik "Art. 6 Tel. 17, Bf/FV/E- 91, Memos 73" aufgeführt). Dazu hielt es fest, die "umfangreiche Korrespondenz und die Telefonate (Totalaufwand 24 Stunden)" seien analog Art. 6 des Tarifs vom 28. Juni 1988 der als Parteikosten in Zivilsachen geschuldeten Anwaltshonorare und -auslagen (PKT; SGF 137.21; in Kraft bis 31. Dezember 2010) pauschal mit Fr. 600.-- zu entschädigen.</w:t>
      </w:r>
    </w:p>
    <w:p>
      <w:r>
        <w:t>Einzig gegen diese Kürzung richtet sich die Verfassungsbeschwerde an das Bundesgericht.</w:t>
      </w:r>
    </w:p>
    <w:p>
      <w:r>
        <w:rPr>
          <w:b/>
        </w:rPr>
        <w:t>E. 4.1</w:t>
      </w:r>
    </w:p>
    <w:p>
      <w:r>
        <w:t>Der Beschwerdeführer rügt eine Verletzung seines Anspruchs auf rechtliches Gehör, da der kantonsgerichtliche Entscheid in Bezug auf die Kürzung des geltend gemachten "Korrespondenzaufwandes" von rund 24 Stunden auf eine pauschale Entschädigung von Fr. 600.-- mangelhaft begründet sei. Er hält fest, das Kantonsgericht hätte in seiner Begründung aufzeigen müssen, welche Leistungen nicht notwendig gewesen und deshalb zu kürzen seien.</w:t>
      </w:r>
    </w:p>
    <w:p>
      <w:r>
        <w:rPr>
          <w:b/>
        </w:rPr>
        <w:t>E. 4.2.1</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Sie kann sich dabei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 BGE 136 V 351 E. 4.2 S. 355).</w:t>
      </w:r>
    </w:p>
    <w:p>
      <w:r>
        <w:rPr>
          <w:b/>
        </w:rPr>
        <w:t>E. 4.2.2</w:t>
      </w:r>
    </w:p>
    <w:p>
      <w:r>
        <w:t>Nach der bundesgerichtlichen Rechtsprechung zur Parteientschädigung, die auch auf die Entschädigung des amtlichen Rechtsbeistandes Anwendung findet (Urteil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 BGE 111 Ia 1 E. 2a S. 1 f. ; 93 I 116 E. 2 S. 120 f.). Eine Begründungspflicht wird jedoch unter anderem dann angenommen, wenn der Richter den Rechtsvertreter zur Einreichung einer Kostennote auffordert und die Parteientschädigung abweichend von der Kostennote auf einen bestimmten, nicht der üblichen, praxisgemäss gewährten Entschädigung entsprechenden Betrag festsetzt. In einem solchen Fall kann nicht mehr davon gesprochen werden, der Anwalt vermöge die Überlegungen, die den Richter zu einem solchen Entschädigungsentscheid führten, auch ohne Begründung zu erkennen (Urteil 4A_275/2010 vom 11. August 2010 E. 8.2).</w:t>
      </w:r>
    </w:p>
    <w:p>
      <w:r>
        <w:rPr>
          <w:b/>
        </w:rPr>
        <w:t>E. 4.3</w:t>
      </w:r>
    </w:p>
    <w:p>
      <w:r>
        <w:t>Das Kantonsgericht hat dem Beschwerdeführer für die umfangreiche Korrespondenz und die Telefonate pauschal Fr. 600.-- zugesprochen und dies mit der analogen Anwendung von Art. 6 PKT begründet.</w:t>
      </w:r>
    </w:p>
    <w:p>
      <w:r>
        <w:rPr>
          <w:b/>
        </w:rPr>
        <w:t>E. 4.4</w:t>
      </w:r>
    </w:p>
    <w:p>
      <w:r>
        <w:t>Die analoge Anwendung von Art. 6 PKT im Rahmen einer detaillierten Festsetzung der Entschädigung entspricht der Praxis des Kantonsgerichts (vgl. dazu ausführlich Urteil 5P.71/2004 vom 29. März 2004 E. 4 mit Hinweis auf FZR 2001, S. 56 sowie E. 5.4 ff. hinten). Hat es damit den Teil des amtlichen Honorars für die Korrespondenz und die Telefonate praxisgemäss in analoger Anwendung von Art. 6 PKT festgelegt und sich dabei an die in dieser Bestimmung genannte Ober- und Untergrenze gehalten, genügt die kantonsgerichtliche Begründung den erwähnten Anforderungen. Dies umso mehr, als dem Beschwerdeführer diese kantonsgerichtliche Praxis bekannt war (vgl. das erwähnte Urteil 5P.71/2004 vom 29. März 2004 E. 4, in dem der Beschwerdeführer in gleicher Parteistellung auftrat) und er selbst in seiner Kostenliste und Beschwerde an das Bundesgericht zwischen "eigentlicher Anwaltstätigkeit" (Aufwand von rund 46 Stunden) und "Korrespondenzaufwand" unterscheidet. In seiner Kostenliste vom 22. Juli 2010 findet sich zudem in der Rubrik, in welcher er den Korrespondenzaufwand aufführt, der Zusatz "Art. 6" (vgl. E. 3.3 oben).</w:t>
      </w:r>
    </w:p>
    <w:p>
      <w:r>
        <w:t>Die Rüge der Verletzung des rechtlichen Gehörs des Beschwerdeführers erweist sich damit als unbegründet.</w:t>
      </w:r>
    </w:p>
    <w:p>
      <w:r>
        <w:rPr>
          <w:b/>
        </w:rPr>
        <w:t>E. 5.1</w:t>
      </w:r>
    </w:p>
    <w:p>
      <w:r>
        <w:t>Der Beschwerdeführer rügt weiter eine Verletzung des Willkürverbots gemäss Art. 9 BV . Die Kürzung des geltend gemachten Korrespondenzaufwandes in der Höhe von (ausgewiesenen) rund 24 Stunden auf eine Pauschale von Fr. 600.-- für ein Scheidungsverfahren, das anderthalb Jahre gedauert habe, erscheine als willkürlich. Bereits das Missverhältnis zwischen dem geltend gemachten Aufwand und der zugesprochenen Entschädigung "erwecke Bedenken". Zudem fehle es für die analoge Anwendung des Parteikostentarifs (PKT) an einer gesetzlichen Grundlage.</w:t>
      </w:r>
    </w:p>
    <w:p>
      <w:r>
        <w:rPr>
          <w:b/>
        </w:rPr>
        <w:t>E. 5.2.1</w:t>
      </w:r>
    </w:p>
    <w:p>
      <w:r>
        <w:t>Den Kantonen kommt nach bundesgerichtlicher Rechtsprechung bei der Bemessung des Honorars für einen amtlichen Rechtsbeistand ein weites Ermessen zu und das Bundesgericht greift nur ein, wenn das Honorar willkürlich festgesetzt wurde ( BGE 122 I 1 E. 3a S. 2).</w:t>
      </w:r>
    </w:p>
    <w:p>
      <w:r>
        <w:rPr>
          <w:b/>
        </w:rPr>
        <w:t>E. 5.2.2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was in der Beschwerde darzulegen ist ( BGE 131 I 217 E. 2.1 S. 219). Dass eine andere Lösung ebenfalls als vertretbar oder gar zutreffender erscheint, genügt nicht ( BGE 136 III 552 E. 4.2 S. 560). Eine willkürliche Ausübung des Ermessens liegt vor, wenn die urteilende Behörde das ihr zustehende Ermessen missbraucht oder es überschreitet ( BGE 109 Ia 107 E. 2c S. 109).</w:t>
      </w:r>
    </w:p>
    <w:p>
      <w:r>
        <w:rPr>
          <w:b/>
        </w:rPr>
        <w:t>E. 5.3</w:t>
      </w:r>
    </w:p>
    <w:p>
      <w:r>
        <w:t>Es kann offen gelassen werden, ob der Beschwerdeführer seine Willkürrüge rechtsgenüglich begründet, da er es unterlässt, darzulegen, inwiefern sich das vom Kantonsgericht zugesprochene Honorar von insgesamt Fr. 10'200.50 im Ergebnis als unhaltbar erweisen soll und sich nur damit begnügt, eine Position (nämlich für den Korrespondenzaufwand) zu thematisieren.</w:t>
      </w:r>
    </w:p>
    <w:p>
      <w:r>
        <w:rPr>
          <w:b/>
        </w:rPr>
        <w:t>E. 5.4</w:t>
      </w:r>
    </w:p>
    <w:p>
      <w:r>
        <w:t>Gemäss Art. 19 i.V.m. Art. 17 Abs. 2 des Gesetzes vom 4. Oktober 1999 über die unentgeltliche Rechtspflege (URPG; SGF 136.1; in Kraft bis 31. Dezember 2010) entrichtet der Staat dem amtlichen Rechtsbeistand zusätzlich zur Reiseentschädigung eine gemäss einem vom Staatsrat erlassenen Tarif (vgl. sogleich) angemessene Pauschalentschädigung.</w:t>
      </w:r>
    </w:p>
    <w:p>
      <w:r>
        <w:t>Art. 1 des Tarifs vom 14. Juni 2000 über die Entschädigungen der Rechtsbeistände bei der unentgeltlichen Rechtspflege in Zivil- und Strafsachen und bei der Hilfe an Opfer von Straftaten (URPT; SGF 136.12; in Kraft bis 31. Dezember 2010) unterscheidet zwischen der globalen Entschädigung gemäss Abs. 1 ("Die angemessene Entschädigung [...] wird auf Grund des Arbeitsaufwands sowie des Umfangs und des Schwierigkeitsgrads der Angelegenheit festgesetzt") und der detaillierten Festsetzung der Entschädigung gemäss Abs. 2 ("Wird die Entschädigung auf Grund einer detaillierten Kostenliste festgesetzt, so beträgt der Stundenansatz Fr. 180.--").</w:t>
      </w:r>
    </w:p>
    <w:p>
      <w:r>
        <w:rPr>
          <w:b/>
        </w:rPr>
        <w:t>E. 5.5</w:t>
      </w:r>
    </w:p>
    <w:p>
      <w:r>
        <w:t>Mit dem Willkürverbot kann es vereinbar sein, bei der Bemessung des amtlichen Honorars bestimmte Regelungen analog beizuziehen und gewisse Pauschalisierungen vorzunehmen (Urteil 1P.194/2004 vom 18. Juni 2004 E. 5.3.1). Das Bundesgericht hat sich wie erwähnt (E. 4.4 oben) bereits im Urteil 5P.71/2004 vom 29. März 2004 zur Praxis des Kantonsgerichts, den Parteikostentarif analog anzuwenden, geäussert und dies nicht beanstandet. Es hat festgehalten, aufgrund des Parallelismus der Festsetzung der Entschädigung des amtlichen Rechtsbeistandes einerseits und dem als Parteikostenersatz zuerkannten Anwaltshonorar andererseits werde die Festsetzungsart (global oder aufgrund einer detaillierten Kostenliste) durch Art. 2 ff. PKT geregelt (Urteil 5P.71/2004 vom 29. März 2004 E. 4 mit Hinweis auf FZR 2001, S. 56).</w:t>
      </w:r>
    </w:p>
    <w:p>
      <w:r>
        <w:t>Es erscheint auch unter heutiger Betrachtung nicht als sachfremd, für die Festsetzung des amtlichen Honorars die Bestimmungen über den Parteikostenersatz des Anwalts beizuziehen. Zudem hat der Beschwerdeführer selbst in seiner Kostenliste die Unterteilung in "eigentliche Anwaltstätigkeit" und "Korrespondenzaufwand" vorgenommen, wie sie der Parteikostentarif für die detaillierte Festsetzung des Honorars gerade vorsieht.</w:t>
      </w:r>
    </w:p>
    <w:p>
      <w:r>
        <w:rPr>
          <w:b/>
        </w:rPr>
        <w:t>E. 5.6</w:t>
      </w:r>
    </w:p>
    <w:p>
      <w:r>
        <w:t>Für die detaillierte Festsetzung (III. Kapitel, Art. 4-6 PKT) sieht Art. 4 PKT als Grundlage einen Stundentarif vor und Art. 5 PKT regelt einen allfälligen Zuschlag. Sodann betrifft Art. 6 Abs. 1 PKT den Aufwand für Korrespondenz und lautet wie folgt: "Korrespondenz und Telefongespräche, die zur Führung des Prozesses notwendig waren, aber den Rahmen einer einfachen Aktenverwaltung nicht überschreiten, insbesondere die Übermittlungsschreiben, die Gesuche um Fristerstreckung oder um Verschiebung einer Verhandlung, geben ausschliesslich Anspruch auf ein Pauschalhonorar von höchstens Fr. 460.--." Nach Abs. 2 dieser Bestimmung kann der Richter ausnahmsweise einen Betrag von höchstens Fr. 690.-- zusprechen, namentlich wenn der Fall eine Korrespondenz von ausserordentlichem Umfang erforderte.</w:t>
      </w:r>
    </w:p>
    <w:p>
      <w:r>
        <w:rPr>
          <w:b/>
        </w:rPr>
        <w:t>E. 5.7</w:t>
      </w:r>
    </w:p>
    <w:p>
      <w:r>
        <w:t>Die vom Kantonsgericht zugesprochenen Fr. 600.-- halten sich damit an den Rahmen von Art. 6 PKT, dessen analoge Anwendung sich nicht als willkürlich erweist. Die Willkürrüge ist unbegründet.</w:t>
      </w:r>
    </w:p>
    <w:p>
      <w:r>
        <w:rPr>
          <w:b/>
        </w:rPr>
        <w:t>E. 6</w:t>
      </w:r>
    </w:p>
    <w:p>
      <w:r>
        <w:t>Aus den dargelegten Gründen muss die Beschwerde abgewiesen werden.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