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5D_49/2020 vom 16. März 2020</w:t>
      </w:r>
    </w:p>
    <w:p>
      <w:r>
        <w:t>Bundesgericht, 2020-03-16, DE</w:t>
      </w:r>
    </w:p>
    <w:p>
      <w:r>
        <w:rPr>
          <w:b/>
        </w:rPr>
        <w:t xml:space="preserve">Quelle: </w:t>
      </w:r>
      <w:r>
        <w:t>https://mcp.opencaselaw.ch/entscheid/bger_5D_49_2020</w:t>
      </w:r>
    </w:p>
    <w:p>
      <w:r>
        <w:t>FR: TF 5D_49/2020 du 16 mars 2020</w:t>
      </w:r>
    </w:p>
    <w:p>
      <w:r>
        <w:t>IT: TF 5D_49/2020 del 16 marzo 2020</w:t>
      </w:r>
    </w:p>
    <w:p>
      <w:pPr>
        <w:pStyle w:val="Heading2"/>
      </w:pPr>
      <w:r>
        <w:t>Erwägungen</w:t>
      </w:r>
    </w:p>
    <w:p>
      <w:r>
        <w:rPr>
          <w:b/>
        </w:rPr>
        <w:t>E. 1</w:t>
      </w:r>
    </w:p>
    <w:p>
      <w:r>
        <w:t>Der Beschwerdeführer betreibt die Beschwerdegegnerin für Fr. 4'529.90 nebst Zins (Betreibung Nr. xxx des Betreibungsamtes Seeland, Dienststelle Biel/Bienne). Mit Entscheid vom 15. November 2019 wies das Regionalgericht Berner Jura-Seeland das Rechtsöffnungsgesuch des Beschwerdeführers ab.</w:t>
      </w:r>
    </w:p>
    <w:p>
      <w:r>
        <w:t>Gegen diesen Entscheid erhob der Beschwerdeführer am 30. November 2019 Beschwerde beim Obergericht des Kantons Bern. Mit Entscheid vom 6. Februar 2020 wies das Obergericht die Beschwerde ab.</w:t>
      </w:r>
    </w:p>
    <w:p>
      <w:r>
        <w:t>Dagegen hat der Beschwerdeführer am 9. März 2020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es sei keine von der Beschwerdegegnerin unterzeichnete Schuldanerkennung im Sinne von Art. 82 Abs. 1 SchKG vorhanden. Aus den vom Beschwerdeführer eingereichten Unterlagen ergebe sich vielmehr, dass er sich selber gemeinsam mit zwei weiteren Personen verpflichtet habe, dem Verein C.________ einen Betrag für unterbliebene Mietzinszahlungen von Fr. 4'000.-- zu bezahlen (Vereinbarung vom 14. März 2005) und dass er später vom Verein C.________ betrieben worden sei, nachdem er seinen Verpflichtungen nicht nachgekommen sei.</w:t>
      </w:r>
    </w:p>
    <w:p>
      <w:r>
        <w:t>Vor Bundesgericht nennt der Beschwerdeführer keine verfassungsmässigen Rechte, die verletzt worden sein sollen. Stattdessen beruft er sich auf eine Rückforderung, da er seinerzeit (2008) für einen zu hohen Betrag betrieben worden sei. Er geht davon aus, es hätten damals alle drei Schuldner betrieben werden müssen, da die Vereinbarung vom 14. März 2005 von drei Schuldnern unterzeichnet worden sei. Er will diese Vereinbarung auch als Rechtsöffnungstitel für die Rückforderung heranziehen. Mit alldem schildert er bloss seine Sicht auf die Rechtslage. Die Verletzung einfachen Gesetzesrechts (insbesondere von Art. 82 Abs. 1 SchKG ) kann mit Verfassungsbeschwerde nicht gerügt werden. Es fehlt auch jegliche Auseinandersetzung mit dem ihm vom Obergericht erläuterten Begriff der Schuldanerkennung im Sinne von Art. 82 Abs. 1 SchKG . Die Beschwerde genügt damit den strengen Rügeanforderungen (oben E. 2) nicht und sie erweist sich als offensichtlich mangelhaft begründet. Auf sie ist folglich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