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47/2021 vom 6. April 2021</w:t>
      </w:r>
    </w:p>
    <w:p>
      <w:r>
        <w:t>Bundesgericht, 2021-04-06, DE</w:t>
      </w:r>
    </w:p>
    <w:p>
      <w:r>
        <w:rPr>
          <w:b/>
        </w:rPr>
        <w:t xml:space="preserve">Quelle: </w:t>
      </w:r>
      <w:r>
        <w:t>https://mcp.opencaselaw.ch/entscheid/bger_5D_47_2021</w:t>
      </w:r>
    </w:p>
    <w:p>
      <w:r>
        <w:t>FR: TF 5D 47/2021 du 6 avril 2021</w:t>
      </w:r>
    </w:p>
    <w:p>
      <w:r>
        <w:t>IT: TF 5D 47/2021 del 6 aprile 2021</w:t>
      </w:r>
    </w:p>
    <w:p>
      <w:pPr>
        <w:pStyle w:val="Heading2"/>
      </w:pPr>
      <w:r>
        <w:t>Regeste</w:t>
      </w:r>
    </w:p>
    <w:p>
      <w:r>
        <w:t>Definitive Rechtsöffnung | Schuldbetreibungs- und Konkursrecht</w:t>
      </w:r>
    </w:p>
    <w:p>
      <w:pPr>
        <w:pStyle w:val="Heading2"/>
      </w:pPr>
      <w:r>
        <w:t>Erwägungen</w:t>
      </w:r>
    </w:p>
    <w:p>
      <w:r>
        <w:rPr>
          <w:b/>
        </w:rPr>
        <w:t>E. 1</w:t>
      </w:r>
    </w:p>
    <w:p>
      <w:r>
        <w:t>Mit Urteil vom 15. Januar 2021 erteilte das Bezirksgericht Meilen dem Beschwerdegegner gegenüber dem Beschwerdeführer in der Betreibung Nr. xxx des Betreibungsamtes Pfannenstiel definitive Rechtsöffnung für Fr. 260.-- nebst Kosten und Entschädigung. Auf das Schadenersatz- und Genugtuungsbegehren des Beschwerdeführers trat es nicht ein. Dagegen erhob der Beschwerdeführer am 5. Februar 2020 Beschwerde. Mit Beschluss vom 18. Februar 2021 trat das Obergericht des Kantons Zürich auf die Beschwerde mangels genügender Begründung nicht ein. Dagegen hat der Beschwerdeführer am 26. März 2021 "Rekurs" an das Bundesgericht erhoben.</w:t>
      </w:r>
    </w:p>
    <w:p>
      <w:r>
        <w:rPr>
          <w:b/>
        </w:rPr>
        <w:t>E. 2</w:t>
      </w:r>
    </w:p>
    <w:p>
      <w:r>
        <w:t>Das Obergericht hat den Streitwert unter Einbezug des Schadenersatz- und Genugtuungsbegehrens von Fr. 2 Mio. mit Fr. 2'000'260.-- angegeben. Dies wird vom Beschwerdeführer nicht bestritten. Er hält gegenteils an seiner Schadenersatz- und Genugtuungsforderung von insgesamt Fr. 2 Mio. fest. Die Eingabe ist demnach als Beschwerde in Zivilsachen zu behandeln ( Art. 72 Abs. 2 lit. a, Art. 74 Abs. 1 lit. b BGG ).</w:t>
      </w:r>
    </w:p>
    <w:p>
      <w:r>
        <w:rPr>
          <w:b/>
        </w:rPr>
        <w:t>E. 3</w:t>
      </w:r>
    </w:p>
    <w:p>
      <w:r>
        <w:t>Der angefochtene Entscheid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Der Beschwerdeführer geht jedoch nicht darauf ein, dass seine Beschwerde an das Obergericht ungenügend begründet war. Stattdessen wiederholt er bloss seinen Standpunkt, dem Kanton Bern könne für die Bundessteuer keine Rechtsöffnung erteilt werden und es handle sich um einen schwerwiegenden Korruptionsfall. 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Eine Parteientschädigung an ihn fällt ausser Betracht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