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47/2019 vom 25. Februar 2019</w:t>
      </w:r>
    </w:p>
    <w:p>
      <w:r>
        <w:t>Bundesgericht, 2019-02-25, DE</w:t>
      </w:r>
    </w:p>
    <w:p>
      <w:r>
        <w:rPr>
          <w:b/>
        </w:rPr>
        <w:t xml:space="preserve">Quelle: </w:t>
      </w:r>
      <w:r>
        <w:t>https://mcp.opencaselaw.ch/entscheid/bger_5D_47_2019</w:t>
      </w:r>
    </w:p>
    <w:p>
      <w:r>
        <w:t>FR: TF 5D 47/2019 du 25 février 2019</w:t>
      </w:r>
    </w:p>
    <w:p>
      <w:r>
        <w:t>IT: TF 5D 47/2019 del 25 febbraio 2019</w:t>
      </w:r>
    </w:p>
    <w:p>
      <w:pPr>
        <w:pStyle w:val="Heading2"/>
      </w:pPr>
      <w:r>
        <w:t>Regeste</w:t>
      </w:r>
    </w:p>
    <w:p>
      <w:r>
        <w:t>Provisorische Rechtsöffnung | Schuldbetreibungs- und Konkursrecht</w:t>
      </w:r>
    </w:p>
    <w:p>
      <w:pPr>
        <w:pStyle w:val="Heading2"/>
      </w:pPr>
      <w:r>
        <w:t>Erwägungen</w:t>
      </w:r>
    </w:p>
    <w:p>
      <w:r>
        <w:rPr>
          <w:b/>
        </w:rPr>
        <w:t>E. 1</w:t>
      </w:r>
    </w:p>
    <w:p>
      <w:r>
        <w:t>Der obergerichtliche Entscheid vom 8. Januar 2019 betreffend Rechtsöffnung für einen Betrag von etwas über Fr. 4'000.-- ist ein kantonal letztinstanzlicher Akt, gegen den grundsätzlich die subsidiäre Verfassungsbeschwerde offen stünde ( Art. 72 Abs. 2 lit. a, Art. 74 Abs. 1 lit. b, Art. 75 Abs. 1 und Art. 113 BGG ). Es ist jedoch fraglich, ob A.________ einen Beschwerdewillen hat. In seinem Schreiben vom 19. Februar 2019 wendet er sich an den obergerichtlichen Referenten persönlich und nirgends ist von "Beschwerde", "Bundesgericht" oder etwas Ähnlichem die Rede.</w:t>
      </w:r>
    </w:p>
    <w:p>
      <w:r>
        <w:rPr>
          <w:b/>
        </w:rPr>
        <w:t>E. 2</w:t>
      </w:r>
    </w:p>
    <w:p>
      <w:r>
        <w:t>Soweit dennoch von der Erhebung einer Beschwerde ausgegangen werden sollte, könnte auf sie im vereinfachten Verfahren nach Art. 108 Abs. 1 lit. b BGG jedenfalls nicht eingetreten werden: Weder enthält das Schreiben ein Rechtsbegehren ( Art. 42 Abs. 1 BGG ) noch wird in irgendeiner Hinsicht eine Verfassungsverletzung geltend gemacht, wie sie mit der subsidiären Verfassungsbeschwerde geltend zu machen wäre und wofür das strenge Rügeprinzip gilt (Art. 116 und Art. 106 Abs. 2 i.V.m. Art. 117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