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5D_47/2018 vom 7. März 2018</w:t>
      </w:r>
    </w:p>
    <w:p>
      <w:r>
        <w:t>Bundesgericht, 2018-03-07, DE</w:t>
      </w:r>
    </w:p>
    <w:p>
      <w:r>
        <w:rPr>
          <w:b/>
        </w:rPr>
        <w:t xml:space="preserve">Quelle: </w:t>
      </w:r>
      <w:r>
        <w:t>https://mcp.opencaselaw.ch/entscheid/bger_5D_47_2018</w:t>
      </w:r>
    </w:p>
    <w:p>
      <w:r>
        <w:t>FR: TF 5D_47/2018 du 7 mars 2018</w:t>
      </w:r>
    </w:p>
    <w:p>
      <w:r>
        <w:t>IT: TF 5D_47/2018 del 7 marzo 2018</w:t>
      </w:r>
    </w:p>
    <w:p>
      <w:pPr>
        <w:pStyle w:val="Heading2"/>
      </w:pPr>
      <w:r>
        <w:t>Erwägungen</w:t>
      </w:r>
    </w:p>
    <w:p>
      <w:r>
        <w:rPr>
          <w:b/>
        </w:rPr>
        <w:t>E. 1</w:t>
      </w:r>
    </w:p>
    <w:p>
      <w:r>
        <w:t>Mit Entscheid vom 15. Januar 2018 trat das Kantonsgericht auf eine Beschwerde der Beschwerdeführerin nicht ein, nachdem diese binnen der angesetzten Nachfrist den Kostenvorschuss von Fr. 225.-- nicht geleistet hatte.</w:t>
      </w:r>
    </w:p>
    <w:p>
      <w:r>
        <w:t>Am 1. März 2018 hat die Beschwerdeführerin gegen diesen Entscheid Beschwerde in Zivilsachen / subsidiäre Verfassungsbeschwerde an das Bundesgericht erhoben.</w:t>
      </w:r>
    </w:p>
    <w:p>
      <w:r>
        <w:rPr>
          <w:b/>
        </w:rPr>
        <w:t>E. 2</w:t>
      </w:r>
    </w:p>
    <w:p>
      <w:r>
        <w:t>Entgegen Art. 112 Abs. 1 lit. d BGG fehlt in der Rechtsmittelbelehrung des angefochtenen Entscheids eine Streitwertangabe. Gemäss Auskunft des Kantonsgerichts beträgt dieser Fr. 550.--. Aufgrund des tiefen Streitwerts ( Art. 74 Abs. 1 lit. b BGG ) und mangels Vorliegens einer Rechtsfrage von grundsätzlicher Bedeutung ( Art. 74 Abs. 2 lit. a BGG ) ist die Beschwerde in Zivilsachen unzulässig und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Die Beschwerdeführerin ersucht um Wiederherstellung der Frist zur Beschwerdeerhebung. Die Frist für die Beschwerde ans Bundesgericht hat sie gewahrt, so dass sich ihr Gesuch offenbar nicht auf das bundesgerichtliche, sondern auf das kantonsgerichtliche Verfahren bezieht. Das Kantonsgericht hat jedoch kein solches Gesuch behandelt oder erwähnt. Ihr Antrag auf Wiederherstellung der Frist zur Beschwerdeerhebung und die entsprechenden Ausführungen gehen mithin an der Sache vorbei.</w:t>
      </w:r>
    </w:p>
    <w:p>
      <w:r>
        <w:t>Die Beschwerdeführerin bestreitet nicht, dass sie den verlangten Kostenvorschuss nicht geleistet hat. Sie verweist aber auf ihre finanzielle Situation und bringt vor, sie sei eine "working poor" und habe bis jetzt das Geld für den Vorschuss nicht verdienen können. Sie macht geltend, ihr stünde genau genommen die unentgeltliche Rechtspflege zu. Dass ihr diese nicht gewährt worden sei, bedeute für sie Hohn und Spott. Der angefochtene Entscheid enthält dazu jedoch nichts: Weder wird darin ein Gesuch um unentgeltliche Rechtspflege behandelt noch lässt sich daraus entnehmen, dass sie ein solches gestellt hätte. Sie belegt auch nicht, dass sie vor Kantonsgericht ein solches Gesuch gestellt hätte, das übergangen worden wäre. Mit ihren Ausführungen kann sie somit nicht darlegen, dass das Kantonsgericht unter verfassungsrechtlichen Gesichtspunkten keinen Kostenvorschuss hätte verlangen dürfen oder trotz Nichtleistung desselben ihre Beschwerde hätte behandeln müssen. Soweit sie die Wiederherstellung der Frist zur Leistung des Kostenvorschusses verlangt, ist sie darauf aufmerksam zu machen, dass das Bundesgericht für die Behandlung eines solchen Gesuches nicht zuständig ist, sondern sie sich dazu an das Kantonsgericht zu wenden hat.</w:t>
      </w:r>
    </w:p>
    <w:p>
      <w:r>
        <w:t>Die Beschwerdeführerin zeigt demnach nicht ansatzweise auf, inwiefern das Obergericht verfassungsmässige Rechte verletzt haben soll. Die Beschwerde enthält offensichtlich keine hinreichende Begründung. Auf sie ist im vereinfachten Verfahren gemäss Art. 117 i.V.m. Art. 108 Abs. 1 lit.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Wie die vorstehenden Erwägungen zeigen, war ihre Beschwerde von Anfang an aussichtslos. Ihr sinngemässes Gesuch um unentgeltliche Rechtspflege für das bundesgerichtlichen Verfahren ist deshalb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