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46/2020 vom 5. März 2020</w:t>
      </w:r>
    </w:p>
    <w:p>
      <w:r>
        <w:t>Bundesgericht, 2020-03-05, DE</w:t>
      </w:r>
    </w:p>
    <w:p>
      <w:r>
        <w:rPr>
          <w:b/>
        </w:rPr>
        <w:t xml:space="preserve">Quelle: </w:t>
      </w:r>
      <w:r>
        <w:t>https://mcp.opencaselaw.ch/entscheid/bger_5D_46_2020</w:t>
      </w:r>
    </w:p>
    <w:p>
      <w:r>
        <w:t>FR: TF 5D 46/2020 du 5 mars 2020</w:t>
      </w:r>
    </w:p>
    <w:p>
      <w:r>
        <w:t>IT: TF 5D 46/2020 del 5 marzo 2020</w:t>
      </w:r>
    </w:p>
    <w:p>
      <w:pPr>
        <w:pStyle w:val="Heading2"/>
      </w:pPr>
      <w:r>
        <w:t>Regeste</w:t>
      </w:r>
    </w:p>
    <w:p>
      <w:r>
        <w:t>Definitive Rechtsöffnung | Schuldbetreibungs- und Konkursrecht</w:t>
      </w:r>
    </w:p>
    <w:p>
      <w:pPr>
        <w:pStyle w:val="Heading2"/>
      </w:pPr>
      <w:r>
        <w:t>Erwägungen</w:t>
      </w:r>
    </w:p>
    <w:p>
      <w:r>
        <w:rPr>
          <w:b/>
        </w:rPr>
        <w:t>E. 1</w:t>
      </w:r>
    </w:p>
    <w:p>
      <w:r>
        <w:t>Die Vorinstanz ist auf das Rechtsmittel des Beschwerdeführers nicht eingetreten. Streitgegenstand ist deshalb grundsätzlich nur die Frage, ob sie zu Recht einen Nichteintretensentscheid gefällt hat ( BGE 135 II 38 E. 1.2 S. 41).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Der Beschwerdeführer bringt zur Begründung einzig vor, das Kantonsgericht habe nichts geprüft und untersucht. Es könne nicht sein, dass man seinen Fahrzeugausweis einziehe, obwohl er bezahle. Er werde sich an die Medien wenden. Damit ist nicht darzutun, inwiefern das Kantonsgericht mit seinem Nichteintretensentscheid betreffend Rechtsöffnung gegen Recht verstossen hätte. Dass es die Sache selbst nicht geprüft hat, ist im Übrigen einem Nichteintretensentscheid immanent.</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