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45/2021 vom 29. März 2021</w:t>
      </w:r>
    </w:p>
    <w:p>
      <w:r>
        <w:t>Bundesgericht, 2021-03-29, FR</w:t>
      </w:r>
    </w:p>
    <w:p>
      <w:r>
        <w:rPr>
          <w:b/>
        </w:rPr>
        <w:t xml:space="preserve">Quelle: </w:t>
      </w:r>
      <w:r>
        <w:t>https://mcp.opencaselaw.ch/entscheid/bger_5D_45_2021</w:t>
      </w:r>
    </w:p>
    <w:p>
      <w:r>
        <w:t>FR: TF 5D 45/2021 du 29 mars 2021</w:t>
      </w:r>
    </w:p>
    <w:p>
      <w:r>
        <w:t>IT: TF 5D 45/2021 del 29 marzo 2021</w:t>
      </w:r>
    </w:p>
    <w:p>
      <w:pPr>
        <w:pStyle w:val="Heading2"/>
      </w:pPr>
      <w:r>
        <w:t>Regeste</w:t>
      </w:r>
    </w:p>
    <w:p>
      <w:r>
        <w:t>mainlevée définitive de l'opposition | Droit des poursuites et faillites</w:t>
      </w:r>
    </w:p>
    <w:p>
      <w:pPr>
        <w:pStyle w:val="Heading2"/>
      </w:pPr>
      <w:r>
        <w:t>Erwägungen</w:t>
      </w:r>
    </w:p>
    <w:p>
      <w:r>
        <w:rPr>
          <w:b/>
        </w:rPr>
        <w:t>E. 1</w:t>
      </w:r>
    </w:p>
    <w:p>
      <w:r>
        <w:t>Par jugement du 11 janvier 2021, le Tribunal de première instance de Genève a levé définitivement, à concurrence de 25'407 fr. en capital, l'opposition formée par A.________ au commandement de payer que lui a fait notifier l'Hospice général ( poursuite n° xx xxxxxx x de l'Office des poursuites du canton de Genève ). Par arrêt du 22 février 2021, la Chambre civile de la Cour de justice du canton de Genève a déclaré irrecevable le recours du poursuivi.</w:t>
      </w:r>
    </w:p>
    <w:p>
      <w:r>
        <w:rPr>
          <w:b/>
        </w:rPr>
        <w:t>E. 2</w:t>
      </w:r>
    </w:p>
    <w:p>
      <w:r>
        <w:t>Par écriture expédiée le 24 mars 2021, le poursuivi exerce un recours au Tribunal fédéral contre l'arrêt de la cour cantonale. Des observations n'ont pas été requises.</w:t>
      </w:r>
    </w:p>
    <w:p>
      <w:r>
        <w:rPr>
          <w:b/>
        </w:rPr>
        <w:t>E. 3</w:t>
      </w:r>
    </w:p>
    <w:p>
      <w:r>
        <w:t>En l'espèce, vu l'insuffisance de la valeur litigieuse et l'absence d'une question juridique de principe ( art. 74 al. 1 let . bet al. 2 let. a LTF), la présente écriture doit être traitée en tant que recours constitutionnel subsidiaire au sens des art. 113 ss LTF .</w:t>
      </w:r>
    </w:p>
    <w:p>
      <w:r>
        <w:rPr>
          <w:b/>
        </w:rPr>
        <w:t>E. 4.1</w:t>
      </w:r>
    </w:p>
    <w:p>
      <w:r>
        <w:t>L'autorité précédente a retenu que la motivation du recours était insuffisante au regard de l' art. 321 al. 1 CPC , même en faisant preuve de bienveillance envers un plaideur en personne dans une procédure sommaire; en effet, cette écriture ne comporte aucune critique de la décision attaquée, ni davantage de conclusion. En toute hypothèse, le recours serait manifestement infondé, dès lors que le recourant n'a pas rendu vraisemblable ( recte : n'a pas rapporté la preuve stricte: ATF 136 III 624 consid. 4.2.1 et les citations) l'un des moyens libératoires prévus par la loi ( art. 81 al. 1 LP ).</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ce principe vaut, en particulier, lorsque l'autorité précédente a déclaré le recours principalement irrecevable et subsidiairement infondé ( ATF 139 II 233 consid. 3.2 et les références). En l'occurrence, le recourant ne conteste pas le motif (principal) de la juridiction précédente pris de l'irrecevabilité du recours en raison de sa motivation insuffisante; partant, il ne démontre pas en quoi la décision entreprise serait, sur ce point, arbitraire ou contraire à d'autres droits constitutionnels ( art. 116 LTF ). Il s'ensuit que le recours doit être écarté d'emblée ( art. 106 al. 2 et 117 LTF ; ATF 136 I 332 consid. 2.1), sans qu'il faille connaître du motif (subsidiaire) sur le fond ( ATF 135 III 608 consid. 4.6).</w:t>
      </w:r>
    </w:p>
    <w:p>
      <w:r>
        <w:rPr>
          <w:b/>
        </w:rPr>
        <w:t>E. 5</w:t>
      </w:r>
    </w:p>
    <w:p>
      <w:r>
        <w:t>En conclusion, le présent recours doit être déclaré irrecevable par voie de procédure simplifiée ( art. 108 al. 1 let . bet art. 117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