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5D_44/2019 vom 19. Februar 2019</w:t>
      </w:r>
    </w:p>
    <w:p>
      <w:r>
        <w:t>Bundesgericht, 2019-02-19, FR</w:t>
      </w:r>
    </w:p>
    <w:p>
      <w:r>
        <w:rPr>
          <w:b/>
        </w:rPr>
        <w:t xml:space="preserve">Quelle: </w:t>
      </w:r>
      <w:r>
        <w:t>https://mcp.opencaselaw.ch/entscheid/bger_5D_44_2019</w:t>
      </w:r>
    </w:p>
    <w:p>
      <w:r>
        <w:t>FR: TF 5D_44/2019 du 19 février 2019</w:t>
      </w:r>
    </w:p>
    <w:p>
      <w:r>
        <w:t>IT: TF 5D_44/2019 del 19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6 décembre 2018, le Président du Tribunal civil de l'arrondissement de la Sarine a levé définitivement l'opposition formée par A.________ au commandement de payer qui lui a été notifié à la réquisition de la Commune de B.________ (</w:t>
      </w:r>
    </w:p>
    <w:p>
      <w:r>
        <w:t>poursuite n° x'xxx'xxx de l'Office des poursuites de la Sarine ). Statuant le 18 janvier 2019 sur "</w:t>
      </w:r>
    </w:p>
    <w:p>
      <w:r>
        <w:t>l'opposition " du poursuivi, la IIe Cour d'appel civil du Tribunal cantonal de l'Etat de Fribourg a déclaré le recours irrecevable.</w:t>
      </w:r>
    </w:p>
    <w:p>
      <w:r>
        <w:rPr>
          <w:b/>
        </w:rPr>
        <w:t>E. 2</w:t>
      </w:r>
    </w:p>
    <w:p>
      <w:r>
        <w:t>Par écriture expédiée le 8 février 2019 à l'adresse du Tribunal fédéral, le poursuivi s'oppose à l'arrêt cantonal. Interpellé le 12 février 2019 à ce sujet, l'intéressé a confirmé son intention de recourir.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Bien qu'il n'y ait aucune constatation précise sur la valeur litigieuse, il ressort de l'indication des voies de droit figurant au pied de la décision attaquée que celle-ci peut faire l'objet d'un "</w:t>
      </w:r>
    </w:p>
    <w:p>
      <w:r>
        <w:t>recours constitutionnel au Tribunal fédéral " ( art. 112 al. 1 let . d LTF), ce dont il n'y a pas lieu de douter en l'occurrence. La présente écriture doit être ainsi traitée sous l'angle des art. 113 ss LTF . Il apparaît superflu d'examiner les autres conditions de recevabilité, le procédé étant voué à l'échec.</w:t>
      </w:r>
    </w:p>
    <w:p>
      <w:r>
        <w:rPr>
          <w:b/>
        </w:rPr>
        <w:t>E. 4</w:t>
      </w:r>
    </w:p>
    <w:p>
      <w:r>
        <w:t>En l'espèce, l'autorité cantonale a retenu que le poursuivi a manifesté son "</w:t>
      </w:r>
    </w:p>
    <w:p>
      <w:r>
        <w:t>opposition " au prononcé attaqué, ajoutant qu'il reste "</w:t>
      </w:r>
    </w:p>
    <w:p>
      <w:r>
        <w:t>à disposition pour le travail d'intérêt général en faveur de l'état ", sans contester les motifs pertinents du premier juge; le recours est dès lors irrecevable au regard de l' art. 321 al. 1 CPC .</w:t>
      </w:r>
    </w:p>
    <w:p>
      <w:r>
        <w:t>Le recourant ne réfute aucunement le motif sur lequel se fonde l'arrêt attaqué; en particulier, il n'expose pas le moindre droit constitutionnel que la cour cantonale aurait violé en déclarant son recours irrecevable, mais se contente de réaffirmer sa disponibilité "</w:t>
      </w:r>
    </w:p>
    <w:p>
      <w:r>
        <w:t>pour un travail d'intérêt général ". Faute de motivation conforme à l' art. 106 al. 2 LTF , le recours est irrecevable (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aux frais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