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5D_42/2025 vom 15. September 2025</w:t>
      </w:r>
    </w:p>
    <w:p>
      <w:r>
        <w:t>Bundesgericht, 2025-09-15, DE</w:t>
      </w:r>
    </w:p>
    <w:p>
      <w:r>
        <w:rPr>
          <w:b/>
        </w:rPr>
        <w:t xml:space="preserve">Quelle: </w:t>
      </w:r>
      <w:r>
        <w:t>https://mcp.opencaselaw.ch/entscheid/bger_5D_42_2025</w:t>
      </w:r>
    </w:p>
    <w:p>
      <w:r>
        <w:t>FR: TF 5D_42/2025 du 15 septembre 2025</w:t>
      </w:r>
    </w:p>
    <w:p>
      <w:r>
        <w:t>IT: TF 5D_42/2025 del 15 settembre 2025</w:t>
      </w:r>
    </w:p>
    <w:p>
      <w:pPr>
        <w:pStyle w:val="Heading2"/>
      </w:pPr>
      <w:r>
        <w:t>Erwägungen</w:t>
      </w:r>
    </w:p>
    <w:p>
      <w:r>
        <w:rPr>
          <w:b/>
        </w:rPr>
        <w:t>E. 1</w:t>
      </w:r>
    </w:p>
    <w:p>
      <w:r>
        <w:t>Die Beschwerdeführerin reicht ihre Eingabe in italienischer Sprache ein, was zulässig ist ( Art. 42 Abs. 1 BGG ); das vorliegende Urteil ergeht indes in der Sprache des angefochtenen Entscheides und somit auf Deutsch ( Art. 54 Abs. 1 BGG ).</w:t>
      </w:r>
    </w:p>
    <w:p>
      <w:r>
        <w:rPr>
          <w:b/>
        </w:rPr>
        <w:t>E. 2</w:t>
      </w:r>
    </w:p>
    <w:p>
      <w:r>
        <w:t>Angefochten ist ein kantonal letztinstanzlicher Entscheid betreffend Kostenerlass in einer Zivilsache ( Art. 72 Abs. 1 und Art. 75 Abs. 1 BGG ) mit einem Streitwert von Fr. 1'334.45. Damit ist die Beschwerde in Zivilsachen nicht gegeben, weil diese einen Mindeststreitwert von Fr. 30'000.-- voraussetzt ( Art. 74 Abs. 1 lit. b BGG ). Vielmehr steht die subsidiäre Verfassungsbeschwerde zur Verfügung ( Art. 113 BGG ). Mit ihr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3</w:t>
      </w:r>
    </w:p>
    <w:p>
      <w:r>
        <w:t>Die Beschwerdeführerin verweist zwar abstrakt auf das Willkürverbot gemäss Art. 9 BV . Indes ergeben sich daraus noch keine Willkürrügen, denn die Ausführungen bleiben durchgängig appellatorisch und sie enthalten der Sache nach auch keine impliziten Willkürrügen.</w:t>
      </w:r>
    </w:p>
    <w:p>
      <w:r>
        <w:t>Die Beschwerde erweist sich somit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