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42/2023 vom 28. März 2023</w:t>
      </w:r>
    </w:p>
    <w:p>
      <w:r>
        <w:t>Bundesgericht, 2023-03-28, FR</w:t>
      </w:r>
    </w:p>
    <w:p>
      <w:r>
        <w:rPr>
          <w:b/>
        </w:rPr>
        <w:t xml:space="preserve">Quelle: </w:t>
      </w:r>
      <w:r>
        <w:t>https://mcp.opencaselaw.ch/entscheid/bger_5D_42_2023</w:t>
      </w:r>
    </w:p>
    <w:p>
      <w:r>
        <w:t>FR: TF 5D 42/2023 du 28 mars 2023</w:t>
      </w:r>
    </w:p>
    <w:p>
      <w:r>
        <w:t>IT: TF 5D 42/2023 del 28 marzo 2023</w:t>
      </w:r>
    </w:p>
    <w:p>
      <w:pPr>
        <w:pStyle w:val="Heading2"/>
      </w:pPr>
      <w:r>
        <w:t>Regeste</w:t>
      </w:r>
    </w:p>
    <w:p>
      <w:r>
        <w:t>mainlevée définitive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prononcé du 5 janvier 2023, la Juge suppléante des districts d'Hérens et Conthey a levé définitivement, à concurrence de la somme de 18'198 fr. 10 en capital, l'opposition formée par A.________ au commandement de payer que lui a fait notifier B.________ ( poursuite n° 400888 de l'Office des poursuites des districts de Sion, Hérens et Conthey ).</w:t>
      </w:r>
    </w:p>
    <w:p>
      <w:r>
        <w:rPr>
          <w:b/>
        </w:rPr>
        <w:t>E. 1.2</w:t>
      </w:r>
    </w:p>
    <w:p>
      <w:r>
        <w:t>Par décision du 25 janvier 2023, le Juge unique de la Chambre civile du Tribunal cantonal du canton du Valais a déclaré irrecevable le recours du poursuivi.</w:t>
      </w:r>
    </w:p>
    <w:p>
      <w:r>
        <w:rPr>
          <w:b/>
        </w:rPr>
        <w:t>E. 2</w:t>
      </w:r>
    </w:p>
    <w:p>
      <w:r>
        <w:t>Par écriture expédiée le 1er mars 2023,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Vu l'insuffisance de la valeur litigieuse et l'absence de question juridique de principe (art. 74 al. 1 let. b et al. 2 let. a LTF), l'écriture du recourant est traitée en tant que recours constitutionnel subsidiaire au sens des art. 113 ss LTF . Il apparaît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le juge précédent a retenu en bref que le poursuivi se contentait d'annoncer la production d'éléments nouveaux - lesquels ne pourraient qu'être écartés en application de l' art. 326 al. 1 CPC -, sans formuler de critiques à l'encontre des motifs du premier juge, qui avait levé l'opposition sur la base de divers jugements.</w:t>
      </w:r>
    </w:p>
    <w:p>
      <w:r>
        <w:rPr>
          <w:b/>
        </w:rPr>
        <w:t>E. 4.2</w:t>
      </w:r>
    </w:p>
    <w:p>
      <w:r>
        <w:t>Après avoir exposé sa situation personnelle, le recourant demande une " révision " de toutes les procédures judiciaires " de 2014 à ce jour ", car elles reposent sur des fausses accusations et des irrégularités très graves; il se prévaut en outre de son " innocence ". Pour autant qu'elle soit compréhensible, une telle argumentation ne répond aucunement à l'exigence de motivation prévue par l' art. 106 al. 2 LTF (par renvoi de l' art. 117 LTF ), faute de la moindre critique de nature constitutionnelle des motifs du juge précédent ( art. 116 LTF ). Il s'ensuit que le recours est entièrement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