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42/2017 vom 10. April 2017</w:t>
      </w:r>
    </w:p>
    <w:p>
      <w:r>
        <w:t>Bundesgericht, 2017-04-10, DE</w:t>
      </w:r>
    </w:p>
    <w:p>
      <w:r>
        <w:rPr>
          <w:b/>
        </w:rPr>
        <w:t xml:space="preserve">Quelle: </w:t>
      </w:r>
      <w:r>
        <w:t>https://mcp.opencaselaw.ch/entscheid/bger_5D_42_2017</w:t>
      </w:r>
    </w:p>
    <w:p>
      <w:r>
        <w:t>FR: TF 5D 42/2017 du 10 avril 2017</w:t>
      </w:r>
    </w:p>
    <w:p>
      <w:r>
        <w:t>IT: TF 5D 42/2017 del 10 aprile 2017</w:t>
      </w:r>
    </w:p>
    <w:p>
      <w:pPr>
        <w:pStyle w:val="Heading2"/>
      </w:pPr>
      <w:r>
        <w:t>Regeste</w:t>
      </w:r>
    </w:p>
    <w:p>
      <w:r>
        <w:t>Definitive Rechtsöffnung | Schuldbetreibungs- und Konkursrecht</w:t>
      </w:r>
    </w:p>
    <w:p>
      <w:pPr>
        <w:pStyle w:val="Heading2"/>
      </w:pPr>
      <w:r>
        <w:t>Erwägungen</w:t>
      </w:r>
    </w:p>
    <w:p>
      <w:r>
        <w:rPr>
          <w:b/>
        </w:rPr>
        <w:t>E. 1</w:t>
      </w:r>
    </w:p>
    <w:p>
      <w:r>
        <w:t>Das Gerichtspräsidium Zurzach erteilte dem Beschwerdegegner mit Entscheid vom 13. Dezember 2016 definitive Rechtsöffnung für den Betrag von Fr. 520.-- nebst Zins zu 5 % seit 24. Juni 2016, für Mahngebühren von Fr. 105.--, für Zahlungsbefehlskosten von Fr. 53.30.--, für Kostenersatz von Fr. 120.-- und eine Parteientschädigung von Fr. 80.--. Dagegen erhob der Beschwerdeführer am 24. Dezember 2016 Beschwerde an das Obergericht des Kantons Aargau. Mit Entscheid vom 16. Februar 2017 trat das Obergericht auf die Beschwerde nicht ein, da der Beschwerdeführer den verlangten Kostenvorschuss binnen Nachfrist nicht geleistet hatte. Am 7. April 2017 (Postaufgabe) ist der Beschwerdeführer an das Bundesgericht gelangt. Er verlangt Genugtuung im Betrag von über Fr. 2 Mia., den Kindern eine Ausbildung und ein normales Leben zuermöglichen, eine öffentliche Sitzung (unter anderem mit Teilnahme von Carla del Ponte) über seine Angelegenheiten und eine Gesetzesanpassung.</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Die Verfassungsbeschwerde erschöpft sich weitgehend in Anträgen und Rügen, die über den Gegenstand des obergerichtlichen Entscheids vom 16. Februar 2017 hinausgehen oder damit in keinem Zusammenhang stehen. Dies trifft namentlich für das Begehren auf Zusprechung einer Genugtuung zu. Auf all dies ist nicht einzutreten. Mit den Gründen, die das Obergericht zu seinem Nichteintretensentscheid bewogen haben, befasst sich der Beschwerdeführer nicht. Es genügt nicht, in diesem Zusammenhang auf andere Schreiben zu verweisen.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 Der Beschwerdeführer hat keinen Anspruch auf öffentliche Beratung durch das Bundesgericht und die Voraussetzungen für eine solche liegen nicht vor ( Art. 58 BGG ).</w:t>
      </w:r>
    </w:p>
    <w:p>
      <w:r>
        <w:rPr>
          <w:b/>
        </w:rPr>
        <w:t>E. 4</w:t>
      </w:r>
    </w:p>
    <w:p>
      <w:r>
        <w:t>Bei diesem Verfahrensausgang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