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41/2022 vom 31. März 2022</w:t>
      </w:r>
    </w:p>
    <w:p>
      <w:r>
        <w:t>Bundesgericht, 2022-03-31, DE</w:t>
      </w:r>
    </w:p>
    <w:p>
      <w:r>
        <w:rPr>
          <w:b/>
        </w:rPr>
        <w:t xml:space="preserve">Quelle: </w:t>
      </w:r>
      <w:r>
        <w:t>https://mcp.opencaselaw.ch/entscheid/bger_5D_41_2022</w:t>
      </w:r>
    </w:p>
    <w:p>
      <w:r>
        <w:t>FR: TF 5D 41/2022 du 31 mars 2022</w:t>
      </w:r>
    </w:p>
    <w:p>
      <w:r>
        <w:t>IT: TF 5D 41/2022 del 31 marzo 2022</w:t>
      </w:r>
    </w:p>
    <w:p>
      <w:pPr>
        <w:pStyle w:val="Heading2"/>
      </w:pPr>
      <w:r>
        <w:t>Regeste</w:t>
      </w:r>
    </w:p>
    <w:p>
      <w:r>
        <w:t>Definitive Rechtsöffnung | Schuldbetreibungs- und Konkursrecht</w:t>
      </w:r>
    </w:p>
    <w:p>
      <w:pPr>
        <w:pStyle w:val="Heading2"/>
      </w:pPr>
      <w:r>
        <w:t>Erwägungen</w:t>
      </w:r>
    </w:p>
    <w:p>
      <w:r>
        <w:rPr>
          <w:b/>
        </w:rPr>
        <w:t>E. 1</w:t>
      </w:r>
    </w:p>
    <w:p>
      <w:r>
        <w:t>Mit Urteil vom 16. Dezember 2021 erteilte das Bezirksgericht Pfäffikon dem Beschwerdegegner gegenüber dem Beschwerdeführer in der Betreibung Nr. xxx des Betreibungsamtes Pfäffikon die definitive Rechtsöffnung für Fr. 5'200.--. Dagegen erhob der Beschwerdeführer mit Eingabe vom 20. Januar 2022 Beschwerde. Mit Urteil vom 17. Februar 2022 wies das Obergericht des Kantons Zürich die Beschwerde ab. Am 14. März 2022 ist der Beschwerdeführer an das Obergericht gelangt. Das Obergericht hat die Eingabe dem Bundesgericht übermittelt ( Art. 48 Abs. 3 BGG ).</w:t>
      </w:r>
    </w:p>
    <w:p>
      <w:r>
        <w:rPr>
          <w:b/>
        </w:rPr>
        <w:t>E. 2</w:t>
      </w:r>
    </w:p>
    <w:p>
      <w:r>
        <w:t>Aus der Eingabe vom 14. März 2022 geht ein hinreichender Beschwerdewille hervor. Aufgrund des unter Fr. 30'000.-- liegenden Streitwerts ( Art. 74 Abs. 1 lit. b BGG ) und mangels Vorliegens einer Rechtsfrage von grundsätzlicher Bedeutung ( Art. 74 Abs. 2 lit. a BGG ) ist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macht geltend, er sei an der bezirksgerichtlichen Rechtsöffnungsverhandlung aus dem Saal verwiesen worden. Entgegen der obergerichtlichen Erwägung, wonach es dafür keine Hinweise gebe, sei dies keine Behauptung. Aus einer Tonaufnahme gehe klar hervor, dass ihm keine Gelegenheit gegeben worden sei, auf den Rechtsvorschlag (gemeint wohl: das Rechtsöffnungsgesuch) einzugehen. Damit wiederholt der Beschwerdeführer bloss seinen Standpunkt, ohne sich in genügender Weise mit den obergerichtlichen Erwägungen auseinanderzusetzen. Er legt nicht dar, auf was für eine Tonaufnahme er sich bezieht, geschweige denn, dass er sie eingereicht hätte. Verfassungsmässige Rechte, die verletzt worden sein sollen, nennt er nicht. 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