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41/2017 vom 10. April 2017</w:t>
      </w:r>
    </w:p>
    <w:p>
      <w:r>
        <w:t>Bundesgericht, 2017-04-10, DE</w:t>
      </w:r>
    </w:p>
    <w:p>
      <w:r>
        <w:rPr>
          <w:b/>
        </w:rPr>
        <w:t xml:space="preserve">Quelle: </w:t>
      </w:r>
      <w:r>
        <w:t>https://mcp.opencaselaw.ch/entscheid/bger_5D_41_2017</w:t>
      </w:r>
    </w:p>
    <w:p>
      <w:r>
        <w:t>FR: TF 5D 41/2017 du 10 avril 2017</w:t>
      </w:r>
    </w:p>
    <w:p>
      <w:r>
        <w:t>IT: TF 5D 41/2017 del 10 aprile 2017</w:t>
      </w:r>
    </w:p>
    <w:p>
      <w:pPr>
        <w:pStyle w:val="Heading2"/>
      </w:pPr>
      <w:r>
        <w:t>Regeste</w:t>
      </w:r>
    </w:p>
    <w:p>
      <w:r>
        <w:t>Definitive Rechtsöffnung | Schuldbetreibungs- und Konkursrecht</w:t>
      </w:r>
    </w:p>
    <w:p>
      <w:pPr>
        <w:pStyle w:val="Heading2"/>
      </w:pPr>
      <w:r>
        <w:t>Erwägungen</w:t>
      </w:r>
    </w:p>
    <w:p>
      <w:r>
        <w:rPr>
          <w:b/>
        </w:rPr>
        <w:t>E. 1</w:t>
      </w:r>
    </w:p>
    <w:p>
      <w:r>
        <w:t>Das Bezirksgericht Lenzburg erteilte dem Beschwerdegegner am 17. November 2016 in der Betreibung Nr. xxx des Betreibungsamts U.________ definitive Rechtsöffnung für den Bussenbetrag von Fr. 5'000.-- und Verfahrenskosten von Fr. 65.--. Dagegen erhob die Beschwerdeführerin am 12. Dezember 2016 Beschwerde an das Obergericht des Kantons Aargau. Mit Entscheid vom 16. Februar 2017 trat das Obergericht auf die Beschwerde nicht ein, da die Beschwerdeführerin den verlangten Kostenvorschuss auch binnen Nachfrist nicht geleistet hatte. Dagegen gelangen die Beschwerdeführerin und der Beschwerdeführer des Verfahrens 5D_40/2017 am 6. April 2017 (Postaufgabe) mit einer gemeinsamen Eingabe (unterzeichnet "i.V." und mit unleserlicher Unterschrift) an das Bundesgericht.</w:t>
      </w:r>
    </w:p>
    <w:p>
      <w:r>
        <w:rPr>
          <w:b/>
        </w:rPr>
        <w:t>E. 2</w:t>
      </w:r>
    </w:p>
    <w:p>
      <w:r>
        <w:t>Aufgrund des tiefen Streitwerts ( Art. 74 Abs. 1 lit. b BGG ) und mangels Vorliegens einer Rechtsfrage von grundsätzlicher Bedeutung ( Art. 74 Abs. 2 lit. a BGG ) ist einzig die subsidiäre Verfassungsbeschwerde zulässig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Ansonsten wird auf die Beschwerde nicht eingetreten (Art. 117 i.V.m. Art. 108 Abs. 1 lit. b BGG ).</w:t>
      </w:r>
    </w:p>
    <w:p>
      <w:r>
        <w:rPr>
          <w:b/>
        </w:rPr>
        <w:t>E. 3</w:t>
      </w:r>
    </w:p>
    <w:p>
      <w:r>
        <w:t>Die Beschwerdeführerin macht geltend, dass ihr nur das Existenzminimum für den Lebensunterhalt zur Verfügung stehe und sie die Busse nur in Raten bezahlen könne. Sie geht damit jedoch nicht auf die Gründe ein, die das Obergericht dazu veranlasst haben, auf ihre kantonale Beschwerde nicht einzutreten. Im Übrigen ist die Beschwerde verspätet. Die Beschwerdeführerin hat das angefochtene Urteil am 6. März 2017 entgegengenommen, womit die Beschwerdefrist am 5. April 2017 abgelaufen ist (Art. 117 i.V.m. Art. 100 Abs. 1 BGG ). Die Verfassungsbeschwerde erweist sich damit als offensichtlich unzulässig bzw. sie enthält offensichtlich keine hinreichende Begründung. Darauf ist im vereinfachten Verfahren gemäss Art. 117 i.V.m. Art. 108 Abs. 1 lit. a und b BGG durch das präsidierende Mitglied der Abteilung nicht einzutreten.</w:t>
      </w:r>
    </w:p>
    <w:p>
      <w:r>
        <w:rPr>
          <w:b/>
        </w:rPr>
        <w:t>E. 4</w:t>
      </w:r>
    </w:p>
    <w:p>
      <w:r>
        <w:t>Bei diesem Ausgang des Verfahrens erübrigt es sich, eine Frist anzusetzen, um die Mängel bei der Unterschrift zu beheben ( Art. 42 Abs. 5 BGG ). Die Beschwerdeführerin ist jedoch darauf hinzuweisen, dass es in Zivilsachen vor Bundesgericht nicht gestattet ist, Familienangehörige zu vertreten. Vielmehr hat eine Partei ihre Eingaben selber zu unterzeichnen oder sich durch einen dazu bevollmächtigten und zur Vertretung berechtigten Anwalt vertreten zu lassen ( Art. 40 BGG ).</w:t>
      </w:r>
    </w:p>
    <w:p>
      <w:r>
        <w:rPr>
          <w:b/>
        </w:rPr>
        <w:t>E. 5</w:t>
      </w:r>
    </w:p>
    <w:p>
      <w:r>
        <w:t>Es rechtfertigt sich,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