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5D_40/2022 vom 14. April 2022</w:t>
      </w:r>
    </w:p>
    <w:p>
      <w:r>
        <w:t>Bundesgericht, 2022-04-14, DE</w:t>
      </w:r>
    </w:p>
    <w:p>
      <w:r>
        <w:rPr>
          <w:b/>
        </w:rPr>
        <w:t xml:space="preserve">Quelle: </w:t>
      </w:r>
      <w:r>
        <w:t>https://mcp.opencaselaw.ch/entscheid/bger_5D_40_2022</w:t>
      </w:r>
    </w:p>
    <w:p>
      <w:r>
        <w:t>FR: TF 5D_40/2022 du 14 avril 2022</w:t>
      </w:r>
    </w:p>
    <w:p>
      <w:r>
        <w:t>IT: TF 5D_40/2022 del 14 aprile 2022</w:t>
      </w:r>
    </w:p>
    <w:p>
      <w:pPr>
        <w:pStyle w:val="Heading2"/>
      </w:pPr>
      <w:r>
        <w:t>Erwägungen</w:t>
      </w:r>
    </w:p>
    <w:p>
      <w:r>
        <w:rPr>
          <w:b/>
        </w:rPr>
        <w:t>E. 1</w:t>
      </w:r>
    </w:p>
    <w:p>
      <w:r>
        <w:t>Der Streitwert beträgt Fr. 500.--. Damit ist die Beschwerde in Zivilsachen nicht gegeben, weil diese einen Mindeststreitwert von Fr. 30'000.-- voraussetzt ( Art. 74 Abs. 1 lit. b BGG ). Vielmehr steht die subsidiäre Verfassungsbeschwerde zur Verfügung ( Art. 113 BGG ). Mit ihr kann einzig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140 III 264 E. 2.3; 142 III 364 E. 2.4).</w:t>
      </w:r>
    </w:p>
    <w:p>
      <w:r>
        <w:rPr>
          <w:b/>
        </w:rPr>
        <w:t>E. 2</w:t>
      </w:r>
    </w:p>
    <w:p>
      <w:r>
        <w:t>Es werden keinerlei verfassungsmässige Bestimmungen genannt, welche verletzt sein könnten, und noch weniger werden inhaltlich Verfassungsrügen erhoben; überhaupt beziehen sich die Ausführungen nicht auf die Erwägungen des angefochtenen Entscheides: Es wird bemängelt, dass die Gegenpartei zugleich das urteilende Gericht sei und dieses aus lauter vom Staat bezahlter Juristen bestehe, was alles eine Karikatur und ein Skandal sei. Sodann wird weitschweifig die Vorgeschichte zum Strafverfahren erzählt. Zum Schluss werden die Oberrichter der Hehlerei beschuldigt.</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