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40/2021 vom 29. März 2021</w:t>
      </w:r>
    </w:p>
    <w:p>
      <w:r>
        <w:t>Bundesgericht, 2021-03-29, DE</w:t>
      </w:r>
    </w:p>
    <w:p>
      <w:r>
        <w:rPr>
          <w:b/>
        </w:rPr>
        <w:t xml:space="preserve">Quelle: </w:t>
      </w:r>
      <w:r>
        <w:t>https://mcp.opencaselaw.ch/entscheid/bger_5D_40_2021</w:t>
      </w:r>
    </w:p>
    <w:p>
      <w:r>
        <w:t>FR: TF 5D 40/2021 du 29 mars 2021</w:t>
      </w:r>
    </w:p>
    <w:p>
      <w:r>
        <w:t>IT: TF 5D 40/2021 del 29 marzo 2021</w:t>
      </w:r>
    </w:p>
    <w:p>
      <w:pPr>
        <w:pStyle w:val="Heading2"/>
      </w:pPr>
      <w:r>
        <w:t>Regeste</w:t>
      </w:r>
    </w:p>
    <w:p>
      <w:r>
        <w:t>Rechtsöffnungsverfahren | Schuldbetreibungs- und Konkursrecht</w:t>
      </w:r>
    </w:p>
    <w:p>
      <w:pPr>
        <w:pStyle w:val="Heading2"/>
      </w:pPr>
      <w:r>
        <w:t>Erwägungen</w:t>
      </w:r>
    </w:p>
    <w:p>
      <w:r>
        <w:rPr>
          <w:b/>
        </w:rPr>
        <w:t>E. 1</w:t>
      </w:r>
    </w:p>
    <w:p>
      <w:r>
        <w:t>Am 14. Juli 2020 ersuchte die Beschwerdegegnerin gegenüber dem Beschwerdeführer um Erteilung der definitiven Rechtsöffnung für Fr. 4'810.35 in der Betreibung Nr. yyy des Betreibungsamtes Zürich 9. Nachdem die Beschwerdegegnerin die Betreibung zurückgezogen hatte, schrieb das Bezirksgericht Zürich das Rechtsöffnungsverfahren mit Verfügung vom 7. September 2020 als gegenstandslos ab. Die Kosten auferlegte es der Beschwerdegegnerin. Am 1. Oktober und 16. Oktober 2020 erhob der Beschwerdeführer Beschwerde. Das Obergericht des Kantons Zürich wies mit Beschluss vom 2. Februar 2021 das Gesuch um unentgeltliche Rechtspflege und Verbeiständung für das Beschwerdeverfahren ab und trat auf die Beschwerde nicht ein. Gegen diesen Entscheid (sowie einen weiteren; dazu Verfahren 5D_39/2021) hat der Beschwerdeführer am 18. März 2021 Beschwerde in Zivilsachen und/oder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Soweit der Beschwerdeführer die Beschwerde auch gegen die "Vorverfahren" richtet, ist darauf nicht einzutreten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es sei weder dargetan noch ersichtlich, inwiefern der Beschwerdeführer aufgrund der Verfahrensabschreibung und der Kostenauflage an die Beschwerdegegnerin einen Nachteil erlitten habe. Zudem sei weder dargetan noch ersichtlich, inwiefern bei dieser Sachlage die für das bezirksgerichtliche Verfahren beantragte, jedoch unterbliebene Bestellung eines unentgeltlichen Rechtsbeistands zur Wahrung der Rechte des Beschwerdeführers notwendig gewesen wäre. Das Obergericht ist insoweit auf die Beschwerde mangels Rechtsschutzinteresses nicht eingetreten. Sodann hat das Obergericht das Gesuch um unentgeltliche Rechtspflege und Verbeiständung für das Beschwerdeverfahren wegen Aussichtslosigkeit der Beschwerde abgewiesen.</w:t>
      </w:r>
    </w:p>
    <w:p>
      <w:r>
        <w:rPr>
          <w:b/>
        </w:rPr>
        <w:t>E. 4</w:t>
      </w:r>
    </w:p>
    <w:p>
      <w:r>
        <w:t>Der Beschwerdeführer setzt sich mit diesen Erwägungen nicht auseinander. Er geht nicht auf das fehlende Rechtsschutzinteresse ein. Sodann genügt es nicht zu behaupten, die Angelegenheit sei nicht aussichtslos gewesen. Ebenso unbehelflich ist der Hinweis auf die Waffengleichheit. Der Beschwerdeführer legt nicht dar, was die Bestellung eines Anwalts an der aussichtslosen Ausgangslage des obergerichtlichen Verfahrens hätte ändern können. Nicht Gegenstand des vorliegenden Verfahrens sind schliesslich die vom Beschwerdeführer geltend gemachten Schadenersatz- und Genugtuungsforderungen.</w:t>
      </w:r>
    </w:p>
    <w:p>
      <w:r>
        <w:rPr>
          <w:b/>
        </w:rPr>
        <w:t>E. 5</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Was das Gesuch um unentgeltliche Verbeiständung im Besonderen betrifft, so hat sich der Beschwerdeführer vor Bundesgericht nicht vertreten lassen. Das Bundesgericht hat ihm am 22. März 2021 mitgeteilt, dass es an ihm liegt, einen Anwalt oder eine Anwältin mit der Interessenwahrung zu betrauen. Es ist nicht ersichtlich, dass der Beschwerdeführer offensichtlich nicht imstande wäre, seine Sache selber zu führen, und ihm deshalb von Amtes wegen ein Anwalt oder eine Anwältin zu bestellen wäre ( Art. 41 Abs. 1 BGG ). Eine Parteientschädigung an den Beschwerdeführer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