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40/2017 vom 10. April 2017</w:t>
      </w:r>
    </w:p>
    <w:p>
      <w:r>
        <w:t>Bundesgericht, 2017-04-10, DE</w:t>
      </w:r>
    </w:p>
    <w:p>
      <w:r>
        <w:rPr>
          <w:b/>
        </w:rPr>
        <w:t xml:space="preserve">Quelle: </w:t>
      </w:r>
      <w:r>
        <w:t>https://mcp.opencaselaw.ch/entscheid/bger_5D_40_2017</w:t>
      </w:r>
    </w:p>
    <w:p>
      <w:r>
        <w:t>FR: TF 5D 40/2017 du 10 avril 2017</w:t>
      </w:r>
    </w:p>
    <w:p>
      <w:r>
        <w:t>IT: TF 5D 40/2017 del 10 aprile 2017</w:t>
      </w:r>
    </w:p>
    <w:p>
      <w:pPr>
        <w:pStyle w:val="Heading2"/>
      </w:pPr>
      <w:r>
        <w:t>Regeste</w:t>
      </w:r>
    </w:p>
    <w:p>
      <w:r>
        <w:t>Definitive Rechtsöffnung | Schuldbetreibungs- und Konkursrecht</w:t>
      </w:r>
    </w:p>
    <w:p>
      <w:pPr>
        <w:pStyle w:val="Heading2"/>
      </w:pPr>
      <w:r>
        <w:t>Erwägungen</w:t>
      </w:r>
    </w:p>
    <w:p>
      <w:r>
        <w:rPr>
          <w:b/>
        </w:rPr>
        <w:t>E. 1</w:t>
      </w:r>
    </w:p>
    <w:p>
      <w:r>
        <w:t>Das Bezirksgericht Lenzburg erteilte dem Beschwerdegegner am 17. November 2016 in der Betreibung Nr. xxx des Betreibungsamts U.________ definitive Rechtsöffnung für den Bussenbetrag von Fr. 5'000.-- und Verfahrenskosten von Fr. 65.--. Dagegen erhob der Beschwerdeführer am 12. Dezember 2016 Beschwerde an das Obergericht des Kantons Aargau. Mit Entscheid vom 16. Februar 2017 trat das Obergericht auf die Beschwerde nicht ein, da der Beschwerdeführer den verlangten Kostenvorschuss auch binnen Nachfrist nicht geleistet hatte. Dagegen gelangen der Beschwerdeführer und die Beschwerdeführerin des Verfahrens 5D_41/2017 am 6. April 2017 (Postaufgabe) mit einer gemeinsamen Eingabe (unterzeichnet "i.V." und mit unleserlicher Unterschrift) an das Bundesgericht.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macht geltend, dass ihm nur das Existenzminimum für den Lebensunterhalt zur Verfügung stehe und er die Busse nur in Raten bezahlen könne. Er geht damit jedoch nicht auf die Gründe ein, die das Obergericht dazu veranlasst haben, auf seine kantonale Beschwerde nicht einzutreten. Im Übrigen ist die Beschwerde verspätet. Der Beschwerdeführer hat das angefochtene Urteil am 6. März 2017 entgegengenommen, womit die Beschwerdefrist am 5. April 2017 abgelaufen ist (Art. 117 i.V.m. Art. 100 Abs. 1 BGG ).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erübrigt es sich, eine Frist anzusetzen, um die Mängel bei der Unterschrift zu beheben ( Art. 42 Abs. 5 BGG ). Der Beschwerdeführer ist jedoch darauf hinzuweisen, dass es in Zivilsachen vor Bundesgericht nicht gestattet ist, Familienangehörige zu vertreten. Vielmehr hat eine Partei ihre Eingaben selber zu unterzeichnen oder sich durch einen dazu bevollmächtigten und zur Vertretung berechtigten Anwalt vertreten zu lassen ( Art. 40 BGG ).</w:t>
      </w:r>
    </w:p>
    <w:p>
      <w:r>
        <w:rPr>
          <w:b/>
        </w:rPr>
        <w:t>E. 5</w:t>
      </w:r>
    </w:p>
    <w:p>
      <w:r>
        <w:t>Es rechtfertigt sich,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