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3/2018 vom 4. Januar 2018</w:t>
      </w:r>
    </w:p>
    <w:p>
      <w:r>
        <w:t>Bundesgericht, 2018-01-04, DE</w:t>
      </w:r>
    </w:p>
    <w:p>
      <w:r>
        <w:rPr>
          <w:b/>
        </w:rPr>
        <w:t xml:space="preserve">Quelle: </w:t>
      </w:r>
      <w:r>
        <w:t>https://mcp.opencaselaw.ch/entscheid/bger_5D_3_2018</w:t>
      </w:r>
    </w:p>
    <w:p>
      <w:r>
        <w:t>FR: TF 5D 3/2018 du 4 janvier 2018</w:t>
      </w:r>
    </w:p>
    <w:p>
      <w:r>
        <w:t>IT: TF 5D 3/2018 del 4 gennaio 2018</w:t>
      </w:r>
    </w:p>
    <w:p>
      <w:pPr>
        <w:pStyle w:val="Heading2"/>
      </w:pPr>
      <w:r>
        <w:t>Regeste</w:t>
      </w:r>
    </w:p>
    <w:p>
      <w:r>
        <w:t>Definitive Rechtsöffnung | Schuldbetreibungs- und Konkursrecht</w:t>
      </w:r>
    </w:p>
    <w:p>
      <w:pPr>
        <w:pStyle w:val="Heading2"/>
      </w:pPr>
      <w:r>
        <w:t>Erwägungen</w:t>
      </w:r>
    </w:p>
    <w:p>
      <w:r>
        <w:rPr>
          <w:b/>
        </w:rPr>
        <w:t>E. 1</w:t>
      </w:r>
    </w:p>
    <w:p>
      <w:r>
        <w:t>Angefochten ist ein im Dispositiv eröffneter ( Art. 239 Abs. 1 lit. b ZPO ) Rechtsöffnungsentscheid mit einem Streitwert von weniger als Fr. 30'000.--. Von der Sache her kommt deshalb auf der Ebene des Bundes einzig die subsidiäre Verfassungsbeschwerde als Rechtsmittel in Frage ( Art. 72 Abs. 2 lit. a, Art. 74 Abs. 1 lit. b und Art. 113 BGG ). Wie die Beschwerde in Zivilsachen steht allerdings auch diese nur gegen kantonal letztinstanzliche Entscheide offen ( Art. 75 Abs. 1 und Art. 113 BGG ). Gegen erstinstanzliche Entscheide, zumal erst im Dispositiv eröffnet, kann nicht direkt beim Bundesgericht Beschwerde geführt werden. Zunächst ist beim Bezirksgericht innert Frist ein vollständig ausgefertigter Entscheid zu verlangen und sodann gegen diesen vorab beim Kantonsgericht Beschwerde zu erheben.</w:t>
      </w:r>
    </w:p>
    <w:p>
      <w:r>
        <w:rPr>
          <w:b/>
        </w:rPr>
        <w:t>E. 2</w:t>
      </w:r>
    </w:p>
    <w:p>
      <w:r>
        <w:t>Nach dem Gesagten erweist sich die Beschwerde mangels Ausschöpfung des Instanzenzuges als offensichtlich unzulässig, weshalb auf sie nicht eingetreten werden kann und das präsidierende Mitglied im vereinfachten Verfahren entscheidet ( Art. 108 Abs. 1 lit. b BGG ).</w:t>
      </w:r>
    </w:p>
    <w:p>
      <w:r>
        <w:rPr>
          <w:b/>
        </w:rPr>
        <w:t>E. 3</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