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5D_39/2025 vom 19. August 2025</w:t>
      </w:r>
    </w:p>
    <w:p>
      <w:r>
        <w:t>Bundesgericht, 2025-08-19, DE</w:t>
      </w:r>
    </w:p>
    <w:p>
      <w:r>
        <w:rPr>
          <w:b/>
        </w:rPr>
        <w:t xml:space="preserve">Quelle: </w:t>
      </w:r>
      <w:r>
        <w:t>https://mcp.opencaselaw.ch/entscheid/bger_5D_39_2025</w:t>
      </w:r>
    </w:p>
    <w:p>
      <w:r>
        <w:t>FR: TF 5D_39/2025 du 19 août 2025</w:t>
      </w:r>
    </w:p>
    <w:p>
      <w:r>
        <w:t>IT: TF 5D_39/2025 del 19 agosto 2025</w:t>
      </w:r>
    </w:p>
    <w:p>
      <w:pPr>
        <w:pStyle w:val="Heading2"/>
      </w:pPr>
      <w:r>
        <w:t>Erwägungen</w:t>
      </w:r>
    </w:p>
    <w:p>
      <w:r>
        <w:rPr>
          <w:b/>
        </w:rPr>
        <w:t>E. 1</w:t>
      </w:r>
    </w:p>
    <w:p>
      <w:r>
        <w:t>Angefochten ist ein kantonal letztinstanzlicher Entscheid betreffend die unentgeltliche Rechtspflege im Rekursverfahren. Darauf ist vorliegend der Beschwerdegegenstand beschränkt. Soweit mehr oder anderes verlangt wird und insbesondere Begehren zur Sache selbst gestellt werden, kann darauf von vornherein nicht eingetreten werden ( BGE 136 II 457 E. 4.2; 136 V 362 E. 3.4.2 ; 142 I 155 E. 4.4.2). Zu beachten ist ferner, dass die Vorinstanz auf das Rechtsmittel des Beschwerdeführers nicht eingetreten ist.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Verwaltungsrekurskommission hat die Prozessarmut mit Verweis auf das Vermögen des Beschwerdeführers von rund Fr. 300'000.-- verneint und das Kantonsgericht ist auf die Beschwerde nicht eingetreten mit der Begründung, der Beschwerdeführer setze sich damit nicht auseinander, sondern verweise auf seine AHV-Rente und erhebe im Übrigen Vorwürfe an die KESB sowie verschiedene Amts- und Privatpersonen. Der Beschwerdeführer legt nicht dar, inwiefern er sich im Verfahren vor dem Kantonsgericht mit der Verneinung der Prozessarmut zufolge seines Vermögens hinreichend auseinandergesetzt hätte und deshalb der angefochtene Nichteintretensentscheid Recht verletzen könnte. Vielmehr verweist er erneut auf eine kleine AHV-Rente sowie eine teure Zahnbehandlung und insbesondere erhebt er zahlreiche Vorwürfe gegenüber der KESB, die mit ihm Millionen gemacht habe.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