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5D_39/2022 vom 22. April 2022</w:t>
      </w:r>
    </w:p>
    <w:p>
      <w:r>
        <w:t>Bundesgericht, 2022-04-22, DE</w:t>
      </w:r>
    </w:p>
    <w:p>
      <w:r>
        <w:rPr>
          <w:b/>
        </w:rPr>
        <w:t xml:space="preserve">Quelle: </w:t>
      </w:r>
      <w:r>
        <w:t>https://mcp.opencaselaw.ch/entscheid/bger_5D_39_2022</w:t>
      </w:r>
    </w:p>
    <w:p>
      <w:r>
        <w:t>FR: TF 5D_39/2022 du 22 avril 2022</w:t>
      </w:r>
    </w:p>
    <w:p>
      <w:r>
        <w:t>IT: TF 5D_39/2022 del 22 aprile 2022</w:t>
      </w:r>
    </w:p>
    <w:p>
      <w:pPr>
        <w:pStyle w:val="Heading2"/>
      </w:pPr>
      <w:r>
        <w:t>Erwägungen</w:t>
      </w:r>
    </w:p>
    <w:p>
      <w:r>
        <w:rPr>
          <w:b/>
        </w:rPr>
        <w:t>E. 1</w:t>
      </w:r>
    </w:p>
    <w:p>
      <w:r>
        <w:t>Mit Urteil vom 21. Oktober 2021 erteilte das Bezirksgericht Zürich der Beschwerdegegnerin gegenüber der Beschwerdeführerin in der Betreibung Nr. xxx des Betreibungsamtes Zürich 3 provisorische Rechtsöffnung für Fr. 2'443.05.</w:t>
      </w:r>
    </w:p>
    <w:p>
      <w:r>
        <w:t>Dagegen erhob die Beschwerdeführerin am 15. November 2021 (Postaufgabe) Beschwerde. Mit Beschluss und Urteil vom 8. März 2022 wies das Obergericht des Kantons Zürich das Gesuch der Beschwerdeführerin um unentgeltliche Rechtspflege für das Beschwerdeverfahren und die Beschwerde ab.</w:t>
      </w:r>
    </w:p>
    <w:p>
      <w:r>
        <w:t>Dagegen hat die Beschwerdeführerin am 16. März 2022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legt nicht dar, inwiefern das Obergericht verfassungsmässige Rechte verletzt haben soll. Eine Auseinandersetzung mit den obergerichtlichen Erwägungen zur Rechtmässigkeit der Nichtverschiebung der erstinstanzlichen Rechtsöffnungsverhandlung und zur unentgeltlichen Rechtspflege (inkl. Verbeiständung) vor Bezirksgericht fehlt. Es genügt den strengen Rügeanforderungen nicht, wenn die Beschwerdeführerin hinsichtlich der Durchführung der Verhandlung bloss ihren Standpunkt wiederholt und hinsichtlich der unentgeltlichen Verbeiständung geltend macht, ihr sei trotz ausgewiesener Mittellosigkeit der unentgeltliche Rechtsbeistand verweigert worden. Soweit sich ihre Ausführungen auch auf das obergerichtliche Verfahren beziehen sollten, behauptet sie nicht, dass sie für das Beschwerdeverfahren nicht nur um unentgeltliche Rechtspflege, sondern auch um unentgeltliche Verbeiständung ersucht hätte.</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Das sinngemässe Gesuch um unentgeltliche Rechtspflege für das bundesgerichtliche Verfahren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