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39/2020 vom 4. März 2020</w:t>
      </w:r>
    </w:p>
    <w:p>
      <w:r>
        <w:t>Bundesgericht, 2020-03-04, DE</w:t>
      </w:r>
    </w:p>
    <w:p>
      <w:r>
        <w:rPr>
          <w:b/>
        </w:rPr>
        <w:t xml:space="preserve">Quelle: </w:t>
      </w:r>
      <w:r>
        <w:t>https://mcp.opencaselaw.ch/entscheid/bger_5D_39_2020</w:t>
      </w:r>
    </w:p>
    <w:p>
      <w:r>
        <w:t>FR: TF 5D 39/2020 du 4 mars 2020</w:t>
      </w:r>
    </w:p>
    <w:p>
      <w:r>
        <w:t>IT: TF 5D 39/2020 del 4 marzo 2020</w:t>
      </w:r>
    </w:p>
    <w:p>
      <w:pPr>
        <w:pStyle w:val="Heading2"/>
      </w:pPr>
      <w:r>
        <w:t>Regeste</w:t>
      </w:r>
    </w:p>
    <w:p>
      <w:r>
        <w:t>definitive Rechtsöffnung | Schuldbetreibungs- und Konkursrecht</w:t>
      </w:r>
    </w:p>
    <w:p>
      <w:pPr>
        <w:pStyle w:val="Heading2"/>
      </w:pPr>
      <w:r>
        <w:t>Erwägungen</w:t>
      </w:r>
    </w:p>
    <w:p>
      <w:r>
        <w:rPr>
          <w:b/>
        </w:rPr>
        <w:t>E. 1</w:t>
      </w:r>
    </w:p>
    <w:p>
      <w:r>
        <w:t>Der angefochtene Entscheid wurde dem Beschwerdeführer am 29. Januar 2020 zugestellt. Die 30-tägige Beschwerdefrist lief demnach am Freitag, 28. Februar 2020 aus ( Art. 44 Abs. 1 und Art. 100 Abs. 1 BGG ). Die Eingabe vom 29. Februar 2020 wäre deshalb verspätet, wenn es sich um die Beschwerde handeln würde. Explizit eingereicht wird aber ein Gesuch um Fristerstreckung. Indes können gesetzliche Fristen nicht erstreckt werden ( Art. 47 Abs. 1 BGG ) und das Gesuch ist deshalb abzuweisen.</w:t>
      </w:r>
    </w:p>
    <w:p>
      <w:r>
        <w:rPr>
          <w:b/>
        </w:rPr>
        <w:t>E. 2</w:t>
      </w:r>
    </w:p>
    <w:p>
      <w:r>
        <w:t>Die Eingabe ist auch nicht als sinngemässes Gesuch um Fristwiederherstellung im Sinn von Art. 50 Abs. 1 BGG entgegenzunehmen, weil die Behauptung, der Treuhänder sei noch im Spital und man werde nach dessen Genesung die nötigen Unterlagen zusammenstellen, nicht ansatzweise belegt und im Übrigen auch nicht zielgerichtet ist, da ein Treuhänder zur Vertretung in der vorliegenden Sache nicht legitimiert (vgl. Art. 40 Abs. 1 BGG ) und im Übrigen nicht ersichtlich wäre, inwiefern der Beschwerdeführer abgehalten gewesen sein soll, selbst fristgerecht zu handeln oder fristgerecht einen im bundesgerichtlichen Verfahren legitimierten Vertreter zu bezeichnen.</w:t>
      </w:r>
    </w:p>
    <w:p>
      <w:r>
        <w:rPr>
          <w:b/>
        </w:rPr>
        <w:t>E. 3</w:t>
      </w:r>
    </w:p>
    <w:p>
      <w:r>
        <w:t>Nach dem Gesagten ist das Gesuch um Fristerstreckung abzuweisen. Soweit bereits mit der Eingabe vom 29. Februar 2020 sinngemäss eine Beschwerde verbunden sein sollte, wäre auf diese wegen Verspätung und im Übrigen auch mangels eines Rechtsbegehrens und einer Begründung nicht einzutreten ( Art. 42 Abs. 1 und 2 BGG ).</w:t>
      </w:r>
    </w:p>
    <w:p>
      <w:r>
        <w:rPr>
          <w:b/>
        </w:rPr>
        <w:t>E. 4</w:t>
      </w:r>
    </w:p>
    <w:p>
      <w:r>
        <w:t>Vorliegend ist im vereinfachten Verfahren nach Art. 108 Abs. 1 lit. a und b BGG zu entscheiden.</w:t>
      </w:r>
    </w:p>
    <w:p>
      <w:r>
        <w:rPr>
          <w:b/>
        </w:rPr>
        <w:t>E. 5</w:t>
      </w:r>
    </w:p>
    <w:p>
      <w:r>
        <w:t>Angesichts der konkreten Umstände wird ausnahmsweise auf die Erhebung von Gerichtskosten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