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5D_38/2025 vom 8. Oktober 2025</w:t>
      </w:r>
    </w:p>
    <w:p>
      <w:r>
        <w:t>Bundesgericht, 2025-10-08, DE</w:t>
      </w:r>
    </w:p>
    <w:p>
      <w:r>
        <w:rPr>
          <w:b/>
        </w:rPr>
        <w:t xml:space="preserve">Quelle: </w:t>
      </w:r>
      <w:r>
        <w:t>https://mcp.opencaselaw.ch/entscheid/bger_5D_38_2025</w:t>
      </w:r>
    </w:p>
    <w:p>
      <w:r>
        <w:t>FR: TF 5D_38/2025 du 8 octobre 2025</w:t>
      </w:r>
    </w:p>
    <w:p>
      <w:r>
        <w:t>IT: TF 5D_38/2025 del 8 ottobre 2025</w:t>
      </w:r>
    </w:p>
    <w:p>
      <w:pPr>
        <w:pStyle w:val="Heading2"/>
      </w:pPr>
      <w:r>
        <w:t>Erwägungen</w:t>
      </w:r>
    </w:p>
    <w:p>
      <w:r>
        <w:rPr>
          <w:b/>
        </w:rPr>
        <w:t>E. 1</w:t>
      </w:r>
    </w:p>
    <w:p>
      <w:r>
        <w:t>Angefochten ist ein kantonal letztinstanzlicher Entscheid betreffend eine Genugtuungsforderung aus behaupteter Persönlichkeitsverletzung ( Art. 72 Abs. 1 und Art. 75 Abs. 1 BGG ). Allerdings ist der für die Beschwerde in Zivilsachen erforderliche Mindeststreitwert von Fr. 30'000.-- ( Art. 74 Abs. 1 lit. b BGG ) nicht erreicht, weshalb nicht diese, sondern die subsidiäre Verfassungsbeschwerde zur Verfügung steht ( Art. 113 BGG ).</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rPr>
          <w:b/>
        </w:rPr>
        <w:t>E. 2</w:t>
      </w:r>
    </w:p>
    <w:p>
      <w:r>
        <w:t>Die Beschwerde besteht aus einer Collage von eigenen und aus anderen Dokumenten sowie WhatsApp-Chats kopierten Texten. Verfassungsmässige Rechte werden nur am Rand erwähnt, wobei in diesem Kontext weder eine konkrete Bezugnahme auf die Erwägungen des angefochtenen Entscheides noch eine nachvollziehbare Darlegung erfolgt, inwiefern die aufgelisteten verfassungsmässigen Rechte verletzt sein sollen.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