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5D_38/2019 vom 22. Februar 2019</w:t>
      </w:r>
    </w:p>
    <w:p>
      <w:r>
        <w:t>Bundesgericht, 2019-02-22, FR</w:t>
      </w:r>
    </w:p>
    <w:p>
      <w:r>
        <w:rPr>
          <w:b/>
        </w:rPr>
        <w:t xml:space="preserve">Quelle: </w:t>
      </w:r>
      <w:r>
        <w:t>https://mcp.opencaselaw.ch/entscheid/bger_5D_38_2019</w:t>
      </w:r>
    </w:p>
    <w:p>
      <w:r>
        <w:t>FR: TF 5D_38/2019 du 22 février 2019</w:t>
      </w:r>
    </w:p>
    <w:p>
      <w:r>
        <w:t>IT: TF 5D_38/2019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4 juillet 2018, la Juge suppléante du district de Viège a levé définitivement, à concurrence de 12'000 fr. plus intérêts à 5% dès le 1er octobre 2017, l'opposition formée par A.________ au commandement de payer notifié à la réquisition de l'Etat de Vaud, agissant par l'intermédiaire du Bureau de recouvrement et d'avances de pensions alimentaires (BRAPA) (poursuite n° xxxxxxx de l'Office des poursuites et faillites du district de Viège).</w:t>
      </w:r>
    </w:p>
    <w:p>
      <w:r>
        <w:t>Statuant le 1er février 2019, la Chambre civile du Tribunal cantonal du Valais (Juge unique)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datée du 7 février 2019, complétée le 17 février suivant, le poursuivi forme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magistrat précédent a retenu que le recourant ne formulait aucun grief intelligible, propre à démontrer que le jugement entrepris serait contraire au droit. Faute d'être motivé, le recours est irrecevable ( art. 321 al. 1 CPC ).</w:t>
      </w:r>
    </w:p>
    <w:p>
      <w:r>
        <w:rPr>
          <w:b/>
        </w:rPr>
        <w:t>E. 4.2</w:t>
      </w:r>
    </w:p>
    <w:p>
      <w:r>
        <w:t>Le recourant n'oppose pas le moindre grief d'ordre constitutionnel au motif d'irrecevabilité retenu par le juge cantonal ( art. 116 LTF ), mais s'exprime sur une procédure matrimoniale le concernant, en particulier sur le droit de visite et les contributions d'entretien. Dépourvu de toute motivation conforme à l' art. 106 al. 2 LTF , le recours doit être écarté d'emblée ( ATF 136 I 332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