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37/2023 vom 27. Februar 2023</w:t>
      </w:r>
    </w:p>
    <w:p>
      <w:r>
        <w:t>Bundesgericht, 2023-02-27, DE</w:t>
      </w:r>
    </w:p>
    <w:p>
      <w:r>
        <w:rPr>
          <w:b/>
        </w:rPr>
        <w:t xml:space="preserve">Quelle: </w:t>
      </w:r>
      <w:r>
        <w:t>https://mcp.opencaselaw.ch/entscheid/bger_5D_37_2023</w:t>
      </w:r>
    </w:p>
    <w:p>
      <w:r>
        <w:t>FR: TF 5D 37/2023 du 27 février 2023</w:t>
      </w:r>
    </w:p>
    <w:p>
      <w:r>
        <w:t>IT: TF 5D 37/2023 del 27 febbraio 2023</w:t>
      </w:r>
    </w:p>
    <w:p>
      <w:pPr>
        <w:pStyle w:val="Heading2"/>
      </w:pPr>
      <w:r>
        <w:t>Regeste</w:t>
      </w:r>
    </w:p>
    <w:p>
      <w:r>
        <w:t>Definitive Rechtsöffnung | Schuldbetreibungs- und Konkursrecht</w:t>
      </w:r>
    </w:p>
    <w:p>
      <w:pPr>
        <w:pStyle w:val="Heading2"/>
      </w:pPr>
      <w:r>
        <w:t>Erwägungen</w:t>
      </w:r>
    </w:p>
    <w:p>
      <w:r>
        <w:rPr>
          <w:b/>
        </w:rPr>
        <w:t>E. 1</w:t>
      </w:r>
    </w:p>
    <w:p>
      <w:r>
        <w:t>Mit Entscheid vom 5. Dezember 2022 erteilte das Bezirksgericht Frauenfeld der Beschwerdegegnerin gegenüber dem Beschwerdeführer in der Betreibung Nr. xxx des Betreibungsamtes Frauenfeld, Aussenstelle Steckborn, die definitive Rechtsöffnung für Fr. 2'732.35. Am 15. Dezember 2022 erhob der Beschwerdeführer Beschwerde beim Obergericht des Kantons Thurgau. Mit Entscheid vom 5. Januar 2023 wies das Obergericht die Beschwerde ab, soweit es darauf eintrat. Dagegen hat der Beschwerdeführer am 13. Februar 2023 (Postaufgabe gleichentags)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w:t>
      </w:r>
    </w:p>
    <w:p>
      <w:r>
        <w:rPr>
          <w:b/>
        </w:rPr>
        <w:t>E. 3</w:t>
      </w:r>
    </w:p>
    <w:p>
      <w:r>
        <w:t>Die Beschwerde besteht einzig aus dem Satz, er (der Beschwerdeführer) habe eine IT-Panne gehabt und er erhebe vollumfängliche, nicht fristgerechte Beschwerde gegen den genannten Entscheid des Obergerichts. Entgegen der Annahme des Beschwerdeführers hat er die Beschwerdefrist gewahrt. Nachdem er den angefochtenen Entscheid am 12. Januar 2023 in Empfang genommen hat, endete die dreissigtägige Beschwerdefrist (Art. 117 i.V.m. 100 Abs. 1 BGG) nach der Verlängerung über das Wochenende ( Art. 45 BGG ) erst am Montag, 13. Februar 2022. Hingegen enthält die Beschwerde keinerlei Verfassungsrügen, wie sie vorliegend erforderlich wären (Art. 116 und Art. 117 i.V.m. Art. 106 Abs. 2 BGG ; BGE 133 II 396 E. 3.1; 142 III 364 E. 2.4). Die Beschwerde enthält damit offensichtlich keine hinreichende Begründung. Auf sie ist im vereinfachten Verfahren durch den Abteilungspräsidenten nicht einzutreten ( Art. 108 Abs. 1 lit. b BGG ).</w:t>
      </w:r>
    </w:p>
    <w:p>
      <w:r>
        <w:rPr>
          <w:b/>
        </w:rPr>
        <w:t>E. 4</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