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35/2023 vom 28. Februar 2023</w:t>
      </w:r>
    </w:p>
    <w:p>
      <w:r>
        <w:t>Bundesgericht, 2023-02-28, DE</w:t>
      </w:r>
    </w:p>
    <w:p>
      <w:r>
        <w:rPr>
          <w:b/>
        </w:rPr>
        <w:t xml:space="preserve">Quelle: </w:t>
      </w:r>
      <w:r>
        <w:t>https://mcp.opencaselaw.ch/entscheid/bger_5D_35_2023</w:t>
      </w:r>
    </w:p>
    <w:p>
      <w:r>
        <w:t>FR: TF 5D 35/2023 du 28 février 2023</w:t>
      </w:r>
    </w:p>
    <w:p>
      <w:r>
        <w:t>IT: TF 5D 35/2023 del 28 febbraio 2023</w:t>
      </w:r>
    </w:p>
    <w:p>
      <w:pPr>
        <w:pStyle w:val="Heading2"/>
      </w:pPr>
      <w:r>
        <w:t>Regeste</w:t>
      </w:r>
    </w:p>
    <w:p>
      <w:r>
        <w:t>Verfahrensabschreibung (provisorische Rechtsöffnung( | Schuldbetreibungs- und Konkursrecht</w:t>
      </w:r>
    </w:p>
    <w:p>
      <w:pPr>
        <w:pStyle w:val="Heading2"/>
      </w:pPr>
      <w:r>
        <w:t>Erwägungen</w:t>
      </w:r>
    </w:p>
    <w:p>
      <w:r>
        <w:rPr>
          <w:b/>
        </w:rPr>
        <w:t>E. 1</w:t>
      </w:r>
    </w:p>
    <w:p>
      <w:r>
        <w:t>Mit Entscheid vom 18. November 2022 schrieb das Kantonsgericht Zug das gegen die Beschwerdeführerin geführte Rechtsöffnungsverfahren betreffend die Betreibung Nr. xxx des Betreibungsamtes Risch zufolge Rückzugs des Rechtsvorschlags ab. Es ermächtigte die Beschwerdegegner, die genannte Betreibung fortzusetzen. Dagegen erhob die Beschwerdeführerin am 4. Dezember 2022 Beschwerde an das Kantonsgericht, das die Beschwerde an das Obergericht des Kantons Zug weiterleitete. Am 12. Dezember 2022 forderte das Obergericht die Beschwerdeführerin zur Leistung eines Kostenvorschusses von Fr. 300.-- auf. Am 11. Januar 2023 setzte es ihr eine letzte Frist von fünf Tagen zur Zahlung des Vorschusses, mit der Androhung, dass bei Nichtleistung auf die Beschwerde nicht eingetreten werde. Mit Präsidialverfügung vom 25. Januar 2023 trat das Obergericht auf die Beschwerde mangels Leistung des Kostenvorschusses nicht ein. Dagegen hat die Beschwerdeführerin am 4. Februar 2023 (Postaufgabe) Beschwerde an das Bundesgericht erhoben.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 Die Präsidialverfügung des Obergerichts ist ein Nichteintretensentscheid. Thema des bundesgerichtlichen Verfahrens ist demnach einzig, ob das Obergericht gegen verfassungsmässige Rechte verstossen hat, indem es auf die kantonale Beschwerde nicht eingetreten ist. Diesbezüglich müsste die Beschwerdeführerin anhand der Erwägungen der angefochtenen Verfügung klar und detailliert darlegen, inwiefern verfassungsmässige Rechte verletzt worden sein sollen (Art. 117 i.V.m. Art. 106 Abs. 2 BGG ; BGE 133 II 396 E. 3.1; 142 III 364 E. 2.4). Die Beschwerdeführerin bringt vor, sie habe die Frist zur Vorschusszahlung an das Obergericht verpasst, weil sie privat sehr unter Druck stehe. Sie habe noch angerufen, um eine Fristerstreckung zu erhalten, doch sei die Frist bereits verstrichen gewesen. Die Beschwerdeführerin leitet aus diesen Ausführungen nichts Konkretes ab und sie zeigt nicht, inwiefern in diesem Zusammenhang gegen verfassungsmässige Rechte verstossen worden sein soll. Im Übrigen macht sie geltend, die ausstehenden Mietzahlungen beträfen nicht sie als Privatperson, sondern die D.________ GmbH. Dies ist jedoch - wie gesagt - nicht Thema des bundesgerichtlichen Verfahrens. Die Beschwerde enthält offensichtlich keine hinreichende Begründung. Auf sie ist im vereinfachten Verfahren durch den Abteilungspräsidenten nicht einzutreten (Art. 117 i.V.m. Art. 108 Abs. 1 lit. b BGG ).</w:t>
      </w:r>
    </w:p>
    <w:p>
      <w:r>
        <w:rPr>
          <w:b/>
        </w:rPr>
        <w:t>E. 3</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