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5D_35/2022 vom 3. Oktober 2022</w:t>
      </w:r>
    </w:p>
    <w:p>
      <w:r>
        <w:t>Bundesgericht, 2022-10-03, DE</w:t>
      </w:r>
    </w:p>
    <w:p>
      <w:r>
        <w:rPr>
          <w:b/>
        </w:rPr>
        <w:t xml:space="preserve">Quelle: </w:t>
      </w:r>
      <w:r>
        <w:t>https://mcp.opencaselaw.ch/entscheid/bger_5D_35_2022</w:t>
      </w:r>
    </w:p>
    <w:p>
      <w:r>
        <w:t>FR: TF 5D_35/2022 du 3 octobre 2022</w:t>
      </w:r>
    </w:p>
    <w:p>
      <w:r>
        <w:t>IT: TF 5D_35/2022 del 3 ottobre 2022</w:t>
      </w:r>
    </w:p>
    <w:p>
      <w:pPr>
        <w:pStyle w:val="Heading2"/>
      </w:pPr>
      <w:r>
        <w:t>Erwägungen</w:t>
      </w:r>
    </w:p>
    <w:p>
      <w:r>
        <w:rPr>
          <w:b/>
        </w:rPr>
        <w:t>E. 1</w:t>
      </w:r>
    </w:p>
    <w:p>
      <w:r>
        <w:t>Angefochten ist ein Entscheid über eine Forderungsklage einer Stockwerkeigentümergemeinschaft gegen eines ihrer Mitglieder und damit eine vermögensrechtliche Zivilsache ( Art. 72 Abs. 1 BGG ). Die gesetzliche Streitwertgrenze von Fr. 30'000.-- (Art. 74 Abs. 1 Bst. b BGG) ist unbestrittermassen nicht erreicht. Diesfalls ist die Beschwerde in Zivilsachen dennoch zulässig, wenn sich eine Rechtsfrage von grundsätzlicher Bedeutung stellt (Art. 74 Abs. 2 Bst. a BGG). Dies wird von der Beschwerdeführerin nicht geltend gemacht und springt auch nicht in die Augen. Die Beschwerde in Zivilsachen ist deshalb unzulässig und die Zulässigkeit der Beschwerde richtet sich nach den Vorschriften über die subsidiäre Verfassungsbeschwerde ( Art. 113 ff. BGG ). Das Obergericht hat als obere kantonale Instanz auf Rechtsmittel hin entschieden (Art. 114 i.V.m. Art. 75 BGG ). Der angefochtene Entscheid betrifft die verfahrensbeteiligte Beschwerdeführerin in ihren rechtlich geschützten Interessen ( Art. 115 BGG ) und schliesst das kantonale Verfahren ab (Art. 117 i.V.m. Art. 90 BGG ). Die rechtzeitig erhobene (Art. 117 i.V.m. Art. 100 Abs. 1 BGG ) Beschwerde ist grundsätzlich zulässig. Dass die Beschwerdeführerin kein reformatorisches Rechtsbegehren auf Abweisung der Klage und Nichtaufhebung des Rechtsvorschlags gestellt hat, schadet nicht. Die zur Auslegung der Anträge hinzuzuziehende Beschwerdebegründung ( BGE 136 V 131 E. 1.2) macht deutlich, dass die Beschwerdeführerin der Meinung ist, der Stockwerkeigentumsgemeinschaft nichts schuldig zu sein.</w:t>
      </w:r>
    </w:p>
    <w:p>
      <w:r>
        <w:rPr>
          <w:b/>
        </w:rPr>
        <w:t>E. 2.1</w:t>
      </w:r>
    </w:p>
    <w:p>
      <w:r>
        <w:t>Mit der Verfassungsbeschwerde kann nur die Verletzung von verfassungsmässigen Rechten gerügt werden ( Art. 116 BGG ). Hierfür gilt das strenge Rügeprinzip (Art. 117 i.V.m. Art. 106 Abs. 2 BGG ). Die Beschwerdeführerin muss in ihrer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134 II 244 E. 2.2; 133 II 396 E. 3.2). In tatsächlicher Hinsicht legt das Bundesgericht seinem Urteil den Sachverhalt zugrunde, den die Vorinstanz festgestellt hat ( Art. 118 Abs. 1 BGG ). Auch diesbezüglich kann das Bundesgericht nur dann korrigierend eingreifen, wenn die Beschwerdeführerin eine Verletzung verfassungsmässiger Rechte dartut (Art. 118 Abs. 2 i.V.m. Art. 116 BGG ).</w:t>
      </w:r>
    </w:p>
    <w:p>
      <w:r>
        <w:rPr>
          <w:b/>
        </w:rPr>
        <w:t>E. 2.2</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117 Ia 10 E. 4b). Willkür liegt zudem nur vor, wenn nicht bloss die Begründung eines Entscheids, sondern auch das Ergebnis unhaltbar ist ( BGE 143 I 321 E. 6.1 ; 141 I 49 E. 3.4 ; 134 I 140 E. 5.4). Dass eine andere Lösung ebenfalls als vertretbar oder gar zutreffender erscheint, begründet keine Willkür ( BGE 145 II 32 a.a.O. ; 137 I 1 E. 2.4 ; 129 I 173 E. 3.1; je mit Hinweisen).</w:t>
      </w:r>
    </w:p>
    <w:p>
      <w:r>
        <w:rPr>
          <w:b/>
        </w:rPr>
        <w:t>E. 3</w:t>
      </w:r>
    </w:p>
    <w:p>
      <w:r>
        <w:t>Die Beschwerdeführerin ist der Meinung, dass beide Vorinstanzen ihr das rechtliche Gehör verweigert hätten, in Willkür ( Art. 9 BV ) verfallen seien und den Grundsatz von Treu und Glauben ( Art. 5 BV ) missachtet hätten, weil sie sich geweigert hätten, den von ihr vorgetragenen Sachverhalt zu prüfen. Sinngemäss macht sie damit geltend, dass ihre vor Bezirksgericht eingereichte Klageantwort verständlich gewesen ist, so dass sich das Bezirksgericht mit dieser Eingabe inhaltlich hätte auseinandersetzen müssen. Dazu ist vorweg das Folgende zu sagen: Anfechtungsobjekt im bundesgerichtlichen Beschwerdeverfahren ist ausschliesslich der Entscheid des Obergerichts (Art. 114 i.V.m. Art. 75 BGG ). Um vor Bundesgericht mit ihrer Beschwerde Erfolg zu haben, müsste die Beschwerdeführerin deshalb in ihrer Beschwerde an das Bundesgericht aufzeigen, inwiefern das Obergericht die Verfassung verletzt, wenn es ihre Beschwerde gegen den erstinstanzlichen Entscheid abweist, nachdem es feststellte, dass keine Klageantwort eingegangen war. Ebenso müsste die Beschwerdeführerin in ihrer Beschwerde an das Bundesgericht dartun, dass sie ihre Kritik am erstinstanzlichen Urteil bereits der Vorinstanz vorgetragen hat, weil sie sonst der Vorwurf trifft, den Instanzenzug nicht materiell ausgeschöpft zu haben ( BGE 146 III 203 E. 3.3.4; 143 III 290 E. 1.1). Weder das eine noch das andere tut die Beschwerdeführerin in einer Art und Weise dar, die dem strengen Rügeprinzip genügt (E. 2). Stattdessen wiederholt sie ihren Standpunkt, dass die Verwaltung der Stockwerkeigentümergemeinschaft seit Jahren nicht ordnungsgemäss bestellt sei, so dass weder die klageweise geltend gemachte Forderung noch die Einsetzung von Felix Weber als Rechtsvertreter der Gegenpartei Bestand haben könnten. Auf diese Weise lässt sich keine Verfassungsverletzung begründen.</w:t>
      </w:r>
    </w:p>
    <w:p>
      <w:r>
        <w:rPr>
          <w:b/>
        </w:rPr>
        <w:t>E. 4</w:t>
      </w:r>
    </w:p>
    <w:p>
      <w:r>
        <w:t>Nach dem Gesagten ist auf die subsidiäre Verfassungsbeschwerde nicht einzutreten. Die Beschwerdeführerin wird damit kostenpflichtig (Art. 65 Abs. 1 und 66 Abs. 1 BGG). Der Beschwerdegegnerin ist kein Aufwand entstanden; entsprechend ist sie auch nicht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